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C5649" w14:textId="4C40D423" w:rsidR="00782F8A" w:rsidRPr="00ED27EB" w:rsidRDefault="00D15FB4" w:rsidP="00ED27EB">
      <w:pPr>
        <w:pStyle w:val="Title"/>
        <w:rPr>
          <w:b/>
          <w:u w:val="single"/>
        </w:rPr>
      </w:pPr>
      <w:r>
        <w:t>A</w:t>
      </w:r>
      <w:r w:rsidR="00782F8A">
        <w:t xml:space="preserve">dvice to clinicians on </w:t>
      </w:r>
      <w:r>
        <w:t xml:space="preserve">risk assessment for severe </w:t>
      </w:r>
      <w:r w:rsidR="00782F8A">
        <w:t>COVID-19</w:t>
      </w:r>
      <w:r>
        <w:t xml:space="preserve"> in patients with haemoglobinopathies and inherited rare anaemias</w:t>
      </w:r>
    </w:p>
    <w:p w14:paraId="57169E4D" w14:textId="77777777" w:rsidR="00C5397B" w:rsidRDefault="00C5397B" w:rsidP="00C5397B">
      <w:pPr>
        <w:rPr>
          <w:rFonts w:cstheme="minorHAnsi"/>
        </w:rPr>
      </w:pPr>
    </w:p>
    <w:p w14:paraId="4990A97A" w14:textId="19C3E16B" w:rsidR="002A77FB" w:rsidRDefault="00C5397B" w:rsidP="00782F8A">
      <w:pPr>
        <w:rPr>
          <w:rFonts w:cstheme="minorHAnsi"/>
        </w:rPr>
      </w:pPr>
      <w:r w:rsidRPr="00773E21">
        <w:rPr>
          <w:rFonts w:cstheme="minorHAnsi"/>
        </w:rPr>
        <w:t>This information has been produced following virtual meetings with representatives from the Haemoglobinopathy Co-ordinating Centres (HCCs) for Haemoglobin Disorders, the Clinical Reference Group for Haemoglobin Disorders, the National Haemoglobinopathy Panel, NHS Screening Committee and NHSBT as well as national experts on Sickle Cell Disease, Thalassaemia and Rare Anaemias and patient groups.</w:t>
      </w:r>
    </w:p>
    <w:p w14:paraId="6E172CF6" w14:textId="60EE81FF" w:rsidR="00D15FB4" w:rsidRDefault="00D15FB4" w:rsidP="00782F8A">
      <w:r>
        <w:rPr>
          <w:rFonts w:cstheme="minorHAnsi"/>
        </w:rPr>
        <w:t>This updates previous advice from this group and should be read in conjunction with government guidance advising that shielding should be paused from 1</w:t>
      </w:r>
      <w:r w:rsidRPr="00D15FB4">
        <w:rPr>
          <w:rFonts w:cstheme="minorHAnsi"/>
          <w:vertAlign w:val="superscript"/>
        </w:rPr>
        <w:t>st</w:t>
      </w:r>
      <w:r>
        <w:rPr>
          <w:rFonts w:cstheme="minorHAnsi"/>
        </w:rPr>
        <w:t xml:space="preserve"> August 2020. </w:t>
      </w:r>
      <w:r>
        <w:t>This document offers advice to Haemoglobinopathy practitioners if the situation arises that shielding is re-introduced. It also provides support for clinicians in having conversations about COVID-19 risk with patients.</w:t>
      </w:r>
    </w:p>
    <w:p w14:paraId="0EB50B64" w14:textId="7D55E587" w:rsidR="00D31033" w:rsidRPr="00D31033" w:rsidRDefault="00D31033" w:rsidP="00782F8A">
      <w:r>
        <w:t xml:space="preserve">This </w:t>
      </w:r>
      <w:r w:rsidRPr="00D31033">
        <w:t>document covers</w:t>
      </w:r>
    </w:p>
    <w:p w14:paraId="5282C1E9" w14:textId="1963C8BC" w:rsidR="00D31033" w:rsidRPr="00D31033" w:rsidRDefault="00D31033" w:rsidP="00D31033">
      <w:pPr>
        <w:pStyle w:val="ListParagraph"/>
        <w:numPr>
          <w:ilvl w:val="0"/>
          <w:numId w:val="46"/>
        </w:numPr>
        <w:rPr>
          <w:rFonts w:cstheme="minorHAnsi"/>
          <w:sz w:val="22"/>
          <w:szCs w:val="22"/>
        </w:rPr>
      </w:pPr>
      <w:r w:rsidRPr="00D31033">
        <w:rPr>
          <w:rFonts w:cstheme="minorHAnsi"/>
          <w:sz w:val="22"/>
          <w:szCs w:val="22"/>
        </w:rPr>
        <w:t xml:space="preserve">Background information </w:t>
      </w:r>
    </w:p>
    <w:p w14:paraId="7AE40A15" w14:textId="53F6E0CE" w:rsidR="00D31033" w:rsidRPr="00D31033" w:rsidRDefault="00D31033" w:rsidP="00D31033">
      <w:pPr>
        <w:pStyle w:val="ListParagraph"/>
        <w:numPr>
          <w:ilvl w:val="0"/>
          <w:numId w:val="46"/>
        </w:numPr>
        <w:rPr>
          <w:rFonts w:cstheme="minorHAnsi"/>
          <w:sz w:val="22"/>
          <w:szCs w:val="22"/>
        </w:rPr>
      </w:pPr>
      <w:r w:rsidRPr="00D31033">
        <w:rPr>
          <w:rFonts w:cstheme="minorHAnsi"/>
          <w:sz w:val="22"/>
          <w:szCs w:val="22"/>
        </w:rPr>
        <w:t>Guidance for discussions with children</w:t>
      </w:r>
    </w:p>
    <w:p w14:paraId="419EA436" w14:textId="77777777" w:rsidR="00D31033" w:rsidRPr="00D31033" w:rsidRDefault="00D31033" w:rsidP="00D31033">
      <w:pPr>
        <w:pStyle w:val="ListParagraph"/>
        <w:numPr>
          <w:ilvl w:val="0"/>
          <w:numId w:val="46"/>
        </w:numPr>
        <w:rPr>
          <w:rFonts w:cstheme="minorHAnsi"/>
          <w:sz w:val="22"/>
          <w:szCs w:val="22"/>
        </w:rPr>
      </w:pPr>
      <w:r w:rsidRPr="00D31033">
        <w:rPr>
          <w:rFonts w:cstheme="minorHAnsi"/>
          <w:sz w:val="22"/>
          <w:szCs w:val="22"/>
        </w:rPr>
        <w:t xml:space="preserve">Planned changes in risk assessment for adults </w:t>
      </w:r>
    </w:p>
    <w:p w14:paraId="0FA7B716" w14:textId="1FB66C41" w:rsidR="00D31033" w:rsidRDefault="00D31033" w:rsidP="00D31033">
      <w:pPr>
        <w:pStyle w:val="ListParagraph"/>
        <w:numPr>
          <w:ilvl w:val="0"/>
          <w:numId w:val="46"/>
        </w:numPr>
        <w:rPr>
          <w:rFonts w:cstheme="minorHAnsi"/>
          <w:sz w:val="22"/>
          <w:szCs w:val="22"/>
        </w:rPr>
      </w:pPr>
      <w:r w:rsidRPr="00D31033">
        <w:rPr>
          <w:rFonts w:cstheme="minorHAnsi"/>
          <w:sz w:val="22"/>
          <w:szCs w:val="22"/>
        </w:rPr>
        <w:t>Guidance</w:t>
      </w:r>
      <w:r>
        <w:rPr>
          <w:rFonts w:cstheme="minorHAnsi"/>
          <w:sz w:val="22"/>
          <w:szCs w:val="22"/>
        </w:rPr>
        <w:t xml:space="preserve"> for discussion with adults</w:t>
      </w:r>
    </w:p>
    <w:p w14:paraId="16E2F768" w14:textId="7C88075B" w:rsidR="00607F74" w:rsidRDefault="00607F74" w:rsidP="00D31033">
      <w:pPr>
        <w:pStyle w:val="ListParagraph"/>
        <w:numPr>
          <w:ilvl w:val="0"/>
          <w:numId w:val="46"/>
        </w:numPr>
        <w:rPr>
          <w:rFonts w:cstheme="minorHAnsi"/>
          <w:sz w:val="22"/>
          <w:szCs w:val="22"/>
        </w:rPr>
      </w:pPr>
      <w:r>
        <w:rPr>
          <w:rFonts w:cstheme="minorHAnsi"/>
          <w:sz w:val="22"/>
          <w:szCs w:val="22"/>
        </w:rPr>
        <w:t xml:space="preserve">Advice to patients on employment/education </w:t>
      </w:r>
    </w:p>
    <w:p w14:paraId="6334FE7A" w14:textId="34D0A5AB" w:rsidR="00607F74" w:rsidRDefault="00607F74" w:rsidP="00D31033">
      <w:pPr>
        <w:pStyle w:val="ListParagraph"/>
        <w:numPr>
          <w:ilvl w:val="0"/>
          <w:numId w:val="46"/>
        </w:numPr>
        <w:rPr>
          <w:rFonts w:cstheme="minorHAnsi"/>
          <w:sz w:val="22"/>
          <w:szCs w:val="22"/>
        </w:rPr>
      </w:pPr>
      <w:r>
        <w:rPr>
          <w:rFonts w:cstheme="minorHAnsi"/>
          <w:sz w:val="22"/>
          <w:szCs w:val="22"/>
        </w:rPr>
        <w:t xml:space="preserve">Additional patient information </w:t>
      </w:r>
    </w:p>
    <w:p w14:paraId="0A5FFE96" w14:textId="77777777" w:rsidR="00D31033" w:rsidRDefault="00D31033" w:rsidP="00D31033">
      <w:pPr>
        <w:rPr>
          <w:rFonts w:cstheme="minorHAnsi"/>
        </w:rPr>
      </w:pPr>
    </w:p>
    <w:p w14:paraId="4BA2F572" w14:textId="46A293FB" w:rsidR="00D31033" w:rsidRPr="00D31033" w:rsidRDefault="00725993" w:rsidP="00D31033">
      <w:pPr>
        <w:rPr>
          <w:rFonts w:cstheme="minorHAnsi"/>
        </w:rPr>
      </w:pPr>
      <w:r>
        <w:rPr>
          <w:rFonts w:cstheme="minorHAnsi"/>
        </w:rPr>
        <w:t xml:space="preserve">It should be read in conjunction with ‘Advice to clinicians on planning recovery from COVID-19’ 26.06.2020. REF </w:t>
      </w:r>
    </w:p>
    <w:p w14:paraId="739EECC8" w14:textId="09723B1F" w:rsidR="00A45472" w:rsidRPr="00773E21" w:rsidRDefault="00A45472" w:rsidP="00A45472">
      <w:pPr>
        <w:pStyle w:val="IntenseQuote"/>
        <w:rPr>
          <w:rFonts w:cstheme="minorHAnsi"/>
          <w:b/>
          <w:bCs/>
        </w:rPr>
      </w:pPr>
      <w:r w:rsidRPr="00773E21">
        <w:rPr>
          <w:rFonts w:cstheme="minorHAnsi"/>
          <w:b/>
          <w:bCs/>
        </w:rPr>
        <w:t xml:space="preserve">1 </w:t>
      </w:r>
      <w:r>
        <w:rPr>
          <w:rFonts w:cstheme="minorHAnsi"/>
          <w:b/>
          <w:bCs/>
        </w:rPr>
        <w:t>Background information</w:t>
      </w:r>
    </w:p>
    <w:p w14:paraId="59ED8F8F" w14:textId="77777777" w:rsidR="00D15FB4" w:rsidRDefault="00D15FB4" w:rsidP="00D15FB4">
      <w:pPr>
        <w:pStyle w:val="PlainText"/>
      </w:pPr>
    </w:p>
    <w:p w14:paraId="09A93E2A" w14:textId="0A019B33" w:rsidR="00D15FB4" w:rsidRDefault="00D15FB4" w:rsidP="00D15FB4">
      <w:pPr>
        <w:pStyle w:val="PlainText"/>
      </w:pPr>
      <w:r>
        <w:t xml:space="preserve">From March 2020 certain groups of ’clinically extremely vulnerable’ people were advised to ‘shield’ to reduce their risk of COVID-19. The National Haemoglobinopathy Panel advised that all people with Sickle Cell Disease (SCD) and some of those with Thalassaemia and </w:t>
      </w:r>
      <w:r w:rsidR="00FD15BA">
        <w:t xml:space="preserve">Rare Anaemias should shield. </w:t>
      </w:r>
      <w:r w:rsidR="00FD15BA" w:rsidRPr="00FD15BA">
        <w:t>https://b-s-h.org.uk/media/18244/hbp-hccs-response-to-covid-v9-200420.pdf</w:t>
      </w:r>
    </w:p>
    <w:p w14:paraId="3CC2833C" w14:textId="77777777" w:rsidR="00D15FB4" w:rsidRDefault="00D15FB4" w:rsidP="00D15FB4">
      <w:pPr>
        <w:pStyle w:val="PlainText"/>
      </w:pPr>
    </w:p>
    <w:p w14:paraId="7FC0FCAB" w14:textId="03E258E2" w:rsidR="00FD15BA" w:rsidRDefault="00D15FB4" w:rsidP="00FD15BA">
      <w:pPr>
        <w:pStyle w:val="PlainText"/>
      </w:pPr>
      <w:r>
        <w:t>From t</w:t>
      </w:r>
      <w:r w:rsidR="001724F3">
        <w:t>he 1st August shielding was</w:t>
      </w:r>
      <w:r>
        <w:t xml:space="preserve"> paused and those shielding have been encouraged to cautiously </w:t>
      </w:r>
      <w:r w:rsidR="001724F3">
        <w:t xml:space="preserve">increase activity outside the home </w:t>
      </w:r>
      <w:r>
        <w:t xml:space="preserve">whilst maintaining social distancing. </w:t>
      </w:r>
      <w:r w:rsidR="00FD15BA">
        <w:t xml:space="preserve">This governmental guidance is being regularly updated and the latest advice can be viewed here. </w:t>
      </w:r>
    </w:p>
    <w:p w14:paraId="0D31748F" w14:textId="0E35586F" w:rsidR="00D15FB4" w:rsidRDefault="00C252C6" w:rsidP="00D15FB4">
      <w:pPr>
        <w:pStyle w:val="PlainText"/>
      </w:pPr>
      <w:hyperlink r:id="rId8" w:history="1">
        <w:r w:rsidR="00FD15BA" w:rsidRPr="007A036B">
          <w:rPr>
            <w:rStyle w:val="Hyperlink"/>
          </w:rPr>
          <w:t>https://www.gov.uk/government/publications/guidance-on-shielding-and-protecting-extremely-vulnerable-persons-from-covid-19/guidance-on-shielding-and-protecting-extremely-vulnerable-persons-from-covid-19</w:t>
        </w:r>
      </w:hyperlink>
      <w:r w:rsidR="00D15FB4">
        <w:t>.</w:t>
      </w:r>
    </w:p>
    <w:p w14:paraId="2F8E5871" w14:textId="77777777" w:rsidR="00FD15BA" w:rsidRDefault="00FD15BA" w:rsidP="00D15FB4">
      <w:pPr>
        <w:pStyle w:val="PlainText"/>
      </w:pPr>
    </w:p>
    <w:p w14:paraId="6B5E54CB" w14:textId="2724B991" w:rsidR="00F5378D" w:rsidRDefault="00F5378D" w:rsidP="00D15FB4">
      <w:pPr>
        <w:pStyle w:val="PlainText"/>
      </w:pPr>
      <w:r>
        <w:t xml:space="preserve">Updated </w:t>
      </w:r>
      <w:r w:rsidR="001724F3">
        <w:t>advice from August 13</w:t>
      </w:r>
      <w:r w:rsidR="001724F3" w:rsidRPr="001724F3">
        <w:rPr>
          <w:vertAlign w:val="superscript"/>
        </w:rPr>
        <w:t>th</w:t>
      </w:r>
      <w:r w:rsidR="001724F3">
        <w:t xml:space="preserve"> </w:t>
      </w:r>
      <w:r w:rsidR="00FD15BA">
        <w:t>states that</w:t>
      </w:r>
      <w:r>
        <w:t>:</w:t>
      </w:r>
    </w:p>
    <w:p w14:paraId="603FA38B" w14:textId="77777777" w:rsidR="00F5378D" w:rsidRDefault="00F5378D" w:rsidP="00F5378D">
      <w:pPr>
        <w:pStyle w:val="PlainText"/>
        <w:numPr>
          <w:ilvl w:val="0"/>
          <w:numId w:val="45"/>
        </w:numPr>
      </w:pPr>
      <w:r>
        <w:t>Patients</w:t>
      </w:r>
      <w:r w:rsidR="00FD15BA">
        <w:t xml:space="preserve"> may be advised to shield</w:t>
      </w:r>
      <w:r w:rsidR="001724F3">
        <w:t xml:space="preserve"> again if the situation changes</w:t>
      </w:r>
      <w:r>
        <w:t xml:space="preserve"> and there is an increase in the transmission of COVID-19 in the community</w:t>
      </w:r>
    </w:p>
    <w:p w14:paraId="21F91496" w14:textId="2F65E174" w:rsidR="00F5378D" w:rsidRDefault="00F5378D" w:rsidP="00F5378D">
      <w:pPr>
        <w:pStyle w:val="PlainText"/>
        <w:numPr>
          <w:ilvl w:val="0"/>
          <w:numId w:val="45"/>
        </w:numPr>
      </w:pPr>
      <w:r>
        <w:t>This may include local lockdowns</w:t>
      </w:r>
    </w:p>
    <w:p w14:paraId="6B9788BE" w14:textId="061D7743" w:rsidR="00F5378D" w:rsidRDefault="00F5378D" w:rsidP="00F5378D">
      <w:pPr>
        <w:pStyle w:val="PlainText"/>
        <w:numPr>
          <w:ilvl w:val="0"/>
          <w:numId w:val="45"/>
        </w:numPr>
      </w:pPr>
      <w:r>
        <w:t>The risks of serious illness from COVID-19 is low for most children and young people. Children and their families have been advised to speak to their paediatric specialist or general practitioner over the summer to discuss if they should be removed from the shielding list</w:t>
      </w:r>
    </w:p>
    <w:p w14:paraId="3476CD93" w14:textId="19FA0CD8" w:rsidR="00F5378D" w:rsidRDefault="00F5378D" w:rsidP="00F5378D">
      <w:pPr>
        <w:pStyle w:val="PlainText"/>
        <w:numPr>
          <w:ilvl w:val="0"/>
          <w:numId w:val="45"/>
        </w:numPr>
      </w:pPr>
      <w:r>
        <w:t xml:space="preserve">All members of the household of those who are identified as ‘clinically extremely vulnerable’ at the time of the flu vaccination programme are eligible for a free flu vaccination </w:t>
      </w:r>
    </w:p>
    <w:p w14:paraId="660C6F7A" w14:textId="77777777" w:rsidR="00F5378D" w:rsidRDefault="00F5378D" w:rsidP="00D15FB4">
      <w:pPr>
        <w:pStyle w:val="PlainText"/>
      </w:pPr>
    </w:p>
    <w:p w14:paraId="619D91A0" w14:textId="77777777" w:rsidR="001724F3" w:rsidRDefault="001724F3" w:rsidP="00D15FB4">
      <w:pPr>
        <w:pStyle w:val="PlainText"/>
      </w:pPr>
    </w:p>
    <w:p w14:paraId="7A58300D" w14:textId="6AE7A760" w:rsidR="001724F3" w:rsidRPr="00773E21" w:rsidRDefault="001724F3" w:rsidP="001724F3">
      <w:pPr>
        <w:pStyle w:val="IntenseQuote"/>
        <w:rPr>
          <w:rFonts w:cstheme="minorHAnsi"/>
          <w:b/>
          <w:bCs/>
        </w:rPr>
      </w:pPr>
      <w:r>
        <w:rPr>
          <w:rFonts w:cstheme="minorHAnsi"/>
          <w:b/>
          <w:bCs/>
        </w:rPr>
        <w:t>2</w:t>
      </w:r>
      <w:r w:rsidRPr="00773E21">
        <w:rPr>
          <w:rFonts w:cstheme="minorHAnsi"/>
          <w:b/>
          <w:bCs/>
        </w:rPr>
        <w:t xml:space="preserve"> Guidance for discussions with children </w:t>
      </w:r>
    </w:p>
    <w:p w14:paraId="2391654F" w14:textId="77777777" w:rsidR="001724F3" w:rsidRDefault="001724F3" w:rsidP="001724F3">
      <w:pPr>
        <w:rPr>
          <w:rFonts w:cstheme="minorHAnsi"/>
        </w:rPr>
      </w:pPr>
      <w:r>
        <w:rPr>
          <w:rFonts w:cstheme="minorHAnsi"/>
        </w:rPr>
        <w:t xml:space="preserve">The government advice says that evidence indicates that the risk of serious illness for most children and young people is low. In the future they expect fewer children and young people will be included on the shielded patient list. If a child or young person is removed from the shielded patient list, they will no longer be advised to shield in the future if coronavirus transmission increases. </w:t>
      </w:r>
    </w:p>
    <w:p w14:paraId="24386181" w14:textId="2B77DF39" w:rsidR="001724F3" w:rsidRPr="00773E21" w:rsidRDefault="001724F3" w:rsidP="001724F3">
      <w:pPr>
        <w:rPr>
          <w:rFonts w:cstheme="minorHAnsi"/>
        </w:rPr>
      </w:pPr>
      <w:r w:rsidRPr="00773E21">
        <w:rPr>
          <w:rFonts w:cstheme="minorHAnsi"/>
        </w:rPr>
        <w:t xml:space="preserve">The </w:t>
      </w:r>
      <w:r>
        <w:rPr>
          <w:rFonts w:cstheme="minorHAnsi"/>
        </w:rPr>
        <w:t>Royal College for Paediatrics an</w:t>
      </w:r>
      <w:r w:rsidRPr="00773E21">
        <w:rPr>
          <w:rFonts w:cstheme="minorHAnsi"/>
        </w:rPr>
        <w:t xml:space="preserve">d Child Health has produced some updated guidance on shielding </w:t>
      </w:r>
      <w:r w:rsidR="00F5378D" w:rsidRPr="00773E21">
        <w:rPr>
          <w:rFonts w:cstheme="minorHAnsi"/>
        </w:rPr>
        <w:t>(June 12</w:t>
      </w:r>
      <w:r w:rsidR="00F5378D" w:rsidRPr="00773E21">
        <w:rPr>
          <w:rFonts w:cstheme="minorHAnsi"/>
          <w:vertAlign w:val="superscript"/>
        </w:rPr>
        <w:t>th</w:t>
      </w:r>
      <w:r w:rsidR="00F5378D" w:rsidRPr="00773E21">
        <w:rPr>
          <w:rFonts w:cstheme="minorHAnsi"/>
        </w:rPr>
        <w:t xml:space="preserve"> 2020)</w:t>
      </w:r>
      <w:r w:rsidR="00F5378D">
        <w:rPr>
          <w:rFonts w:cstheme="minorHAnsi"/>
        </w:rPr>
        <w:t xml:space="preserve"> </w:t>
      </w:r>
      <w:r w:rsidRPr="00773E21">
        <w:rPr>
          <w:rFonts w:cstheme="minorHAnsi"/>
        </w:rPr>
        <w:t>which should be used for discussions with children and their families</w:t>
      </w:r>
      <w:r w:rsidR="00F5378D">
        <w:rPr>
          <w:rFonts w:cstheme="minorHAnsi"/>
        </w:rPr>
        <w:t xml:space="preserve"> and advises that clinicians should discuss this with their patients over the summer</w:t>
      </w:r>
      <w:r w:rsidRPr="00773E21">
        <w:rPr>
          <w:rFonts w:cstheme="minorHAnsi"/>
        </w:rPr>
        <w:t xml:space="preserve">. </w:t>
      </w:r>
    </w:p>
    <w:p w14:paraId="2201523B" w14:textId="77777777" w:rsidR="001724F3" w:rsidRPr="00773E21" w:rsidRDefault="00C252C6" w:rsidP="001724F3">
      <w:pPr>
        <w:rPr>
          <w:rFonts w:cstheme="minorHAnsi"/>
        </w:rPr>
      </w:pPr>
      <w:hyperlink r:id="rId9" w:history="1">
        <w:r w:rsidR="001724F3" w:rsidRPr="00773E21">
          <w:rPr>
            <w:rStyle w:val="Hyperlink"/>
            <w:rFonts w:cstheme="minorHAnsi"/>
          </w:rPr>
          <w:t>https://www.rcpch.ac.uk/resources/covid-19-shielding-guidance-children-young-people</w:t>
        </w:r>
      </w:hyperlink>
    </w:p>
    <w:p w14:paraId="27BC5609" w14:textId="77777777" w:rsidR="001724F3" w:rsidRPr="00773E21" w:rsidRDefault="001724F3" w:rsidP="001724F3">
      <w:pPr>
        <w:rPr>
          <w:rFonts w:eastAsia="Times New Roman" w:cstheme="minorHAnsi"/>
          <w:color w:val="000000"/>
          <w:lang w:val="en" w:eastAsia="en-GB"/>
        </w:rPr>
      </w:pPr>
      <w:r w:rsidRPr="00773E21">
        <w:rPr>
          <w:rFonts w:cstheme="minorHAnsi"/>
        </w:rPr>
        <w:t>This states that</w:t>
      </w:r>
      <w:r w:rsidRPr="00773E21">
        <w:rPr>
          <w:rFonts w:eastAsia="Times New Roman" w:cstheme="minorHAnsi"/>
          <w:color w:val="000000"/>
          <w:lang w:val="en" w:eastAsia="en-GB"/>
        </w:rPr>
        <w:t xml:space="preserve"> in principle:</w:t>
      </w:r>
    </w:p>
    <w:p w14:paraId="7F3D5E5F" w14:textId="77777777" w:rsidR="001724F3" w:rsidRPr="00773E21" w:rsidRDefault="001724F3" w:rsidP="001724F3">
      <w:pPr>
        <w:pStyle w:val="ListParagraph"/>
        <w:numPr>
          <w:ilvl w:val="0"/>
          <w:numId w:val="44"/>
        </w:numPr>
        <w:spacing w:after="165"/>
        <w:rPr>
          <w:rFonts w:eastAsia="Times New Roman" w:cstheme="minorHAnsi"/>
          <w:color w:val="000000"/>
          <w:sz w:val="22"/>
          <w:szCs w:val="22"/>
          <w:lang w:val="en" w:eastAsia="en-GB"/>
        </w:rPr>
      </w:pPr>
      <w:r w:rsidRPr="00773E21">
        <w:rPr>
          <w:rFonts w:eastAsia="Times New Roman" w:cstheme="minorHAnsi"/>
          <w:color w:val="000000"/>
          <w:sz w:val="22"/>
          <w:szCs w:val="22"/>
          <w:lang w:val="en" w:eastAsia="en-GB"/>
        </w:rPr>
        <w:t>A small group of children who are ‘clinically extremely vulnerable’ due to their pre-existing condition will need to continue to shield.</w:t>
      </w:r>
    </w:p>
    <w:p w14:paraId="705A712C" w14:textId="77777777" w:rsidR="001724F3" w:rsidRPr="00773E21" w:rsidRDefault="001724F3" w:rsidP="001724F3">
      <w:pPr>
        <w:pStyle w:val="ListParagraph"/>
        <w:numPr>
          <w:ilvl w:val="0"/>
          <w:numId w:val="44"/>
        </w:numPr>
        <w:spacing w:before="100" w:beforeAutospacing="1" w:after="100" w:afterAutospacing="1"/>
        <w:rPr>
          <w:rFonts w:eastAsia="Times New Roman" w:cstheme="minorHAnsi"/>
          <w:color w:val="000000"/>
          <w:sz w:val="22"/>
          <w:szCs w:val="22"/>
          <w:lang w:val="en" w:eastAsia="en-GB"/>
        </w:rPr>
      </w:pPr>
      <w:r w:rsidRPr="00773E21">
        <w:rPr>
          <w:rFonts w:eastAsia="Times New Roman" w:cstheme="minorHAnsi"/>
          <w:color w:val="000000"/>
          <w:sz w:val="22"/>
          <w:szCs w:val="22"/>
          <w:lang w:val="en" w:eastAsia="en-GB"/>
        </w:rPr>
        <w:t>A further larger group of children exists who, due to their underlying condition, may need to shield.  The decision to continue to shield would normally result from a discussion between the clinician, the child and their family. </w:t>
      </w:r>
    </w:p>
    <w:p w14:paraId="58B49F31" w14:textId="77777777" w:rsidR="001724F3" w:rsidRPr="00773E21" w:rsidRDefault="001724F3" w:rsidP="001724F3">
      <w:pPr>
        <w:pStyle w:val="ListParagraph"/>
        <w:numPr>
          <w:ilvl w:val="0"/>
          <w:numId w:val="44"/>
        </w:numPr>
        <w:spacing w:before="100" w:beforeAutospacing="1" w:after="100" w:afterAutospacing="1"/>
        <w:rPr>
          <w:rFonts w:eastAsia="Times New Roman" w:cstheme="minorHAnsi"/>
          <w:color w:val="000000"/>
          <w:sz w:val="22"/>
          <w:szCs w:val="22"/>
          <w:lang w:val="en" w:eastAsia="en-GB"/>
        </w:rPr>
      </w:pPr>
      <w:r w:rsidRPr="00773E21">
        <w:rPr>
          <w:rFonts w:eastAsia="Times New Roman" w:cstheme="minorHAnsi"/>
          <w:color w:val="000000"/>
          <w:sz w:val="22"/>
          <w:szCs w:val="22"/>
          <w:lang w:val="en" w:eastAsia="en-GB"/>
        </w:rPr>
        <w:t>Splenectomy alone is not an indication for shielding</w:t>
      </w:r>
    </w:p>
    <w:p w14:paraId="2798FE34" w14:textId="77777777" w:rsidR="0088558A" w:rsidRDefault="0088558A" w:rsidP="001724F3">
      <w:pPr>
        <w:spacing w:after="165" w:line="240" w:lineRule="auto"/>
        <w:jc w:val="both"/>
        <w:rPr>
          <w:rFonts w:eastAsia="Times New Roman" w:cstheme="minorHAnsi"/>
          <w:color w:val="000000"/>
          <w:lang w:val="en" w:eastAsia="en-GB"/>
        </w:rPr>
      </w:pPr>
    </w:p>
    <w:p w14:paraId="335CD693" w14:textId="77777777" w:rsidR="0088558A" w:rsidRPr="0088558A" w:rsidRDefault="0088558A" w:rsidP="0088558A">
      <w:pPr>
        <w:spacing w:after="165" w:line="240" w:lineRule="auto"/>
        <w:jc w:val="both"/>
        <w:rPr>
          <w:rFonts w:eastAsia="Times New Roman" w:cstheme="minorHAnsi"/>
          <w:color w:val="000000"/>
          <w:lang w:val="en" w:eastAsia="en-GB"/>
        </w:rPr>
      </w:pPr>
      <w:r w:rsidRPr="0088558A">
        <w:rPr>
          <w:rFonts w:eastAsia="Times New Roman" w:cstheme="minorHAnsi"/>
          <w:color w:val="000000"/>
          <w:lang w:val="en" w:eastAsia="en-GB"/>
        </w:rPr>
        <w:t xml:space="preserve">Conditions listed in the </w:t>
      </w:r>
      <w:r w:rsidRPr="0088558A">
        <w:rPr>
          <w:rFonts w:eastAsia="Times New Roman" w:cstheme="minorHAnsi"/>
          <w:color w:val="FF0000"/>
          <w:lang w:val="en" w:eastAsia="en-GB"/>
        </w:rPr>
        <w:t>red</w:t>
      </w:r>
      <w:r w:rsidRPr="0088558A">
        <w:rPr>
          <w:rFonts w:eastAsia="Times New Roman" w:cstheme="minorHAnsi"/>
          <w:color w:val="000000"/>
          <w:lang w:val="en" w:eastAsia="en-GB"/>
        </w:rPr>
        <w:t xml:space="preserve"> categories confer the highest risk and individuals should be advised to continue to ‘shield’.</w:t>
      </w:r>
    </w:p>
    <w:p w14:paraId="0BA09C66" w14:textId="77777777" w:rsidR="0088558A" w:rsidRPr="0088558A" w:rsidRDefault="0088558A" w:rsidP="0088558A">
      <w:pPr>
        <w:spacing w:after="165" w:line="240" w:lineRule="auto"/>
        <w:jc w:val="both"/>
        <w:rPr>
          <w:rFonts w:eastAsia="Times New Roman" w:cstheme="minorHAnsi"/>
          <w:color w:val="000000"/>
          <w:lang w:val="en" w:eastAsia="en-GB"/>
        </w:rPr>
      </w:pPr>
      <w:r w:rsidRPr="0088558A">
        <w:rPr>
          <w:rFonts w:eastAsia="Times New Roman" w:cstheme="minorHAnsi"/>
          <w:color w:val="000000"/>
          <w:lang w:val="en" w:eastAsia="en-GB"/>
        </w:rPr>
        <w:t xml:space="preserve">Conditions listed in the </w:t>
      </w:r>
      <w:r w:rsidRPr="0088558A">
        <w:rPr>
          <w:rFonts w:eastAsia="Times New Roman" w:cstheme="minorHAnsi"/>
          <w:color w:val="FFC000"/>
          <w:lang w:val="en" w:eastAsia="en-GB"/>
        </w:rPr>
        <w:t>amber</w:t>
      </w:r>
      <w:r w:rsidRPr="0088558A">
        <w:rPr>
          <w:rFonts w:eastAsia="Times New Roman" w:cstheme="minorHAnsi"/>
          <w:color w:val="000000"/>
          <w:lang w:val="en" w:eastAsia="en-GB"/>
        </w:rPr>
        <w:t xml:space="preserve"> categories below confer a less well defined risk and will require a case-by-case discussion to decide whether, on the balance of risks, an individual should be advised to </w:t>
      </w:r>
      <w:r w:rsidRPr="0088558A">
        <w:rPr>
          <w:rFonts w:eastAsia="Times New Roman" w:cstheme="minorHAnsi"/>
          <w:color w:val="000000"/>
          <w:lang w:val="en" w:eastAsia="en-GB"/>
        </w:rPr>
        <w:lastRenderedPageBreak/>
        <w:t>continue shield. Not all of those in the categories listed below will need to shield.  If following a discussion, the individual is advised not to shield, they should maintain stringent social distancing.</w:t>
      </w:r>
    </w:p>
    <w:p w14:paraId="3350A2B6" w14:textId="77777777" w:rsidR="0088558A" w:rsidRPr="0088558A" w:rsidRDefault="0088558A" w:rsidP="0088558A">
      <w:pPr>
        <w:rPr>
          <w:rFonts w:cstheme="minorHAnsi"/>
        </w:rPr>
      </w:pPr>
      <w:r w:rsidRPr="0088558A">
        <w:rPr>
          <w:rFonts w:cstheme="minorHAnsi"/>
        </w:rPr>
        <w:t>Individual risk assessment on which shielding advice is based should be undertaken by an experienced member of the local or specialist haemoglobinopathy clinical team (medical staff or clinical nurse specialists). This may be facilitated by a screening tool or checklist to ensure consistency. Input from other clinical specialties should be sought where relevant particularly if decisions on shielding are equivocal.  It is recommended guidance on shielding is communicated verbally in the first instance and a record of the discussion documented in the patient’s health record. A letter confirming the advice given should be sent to the patient/parent(s) and copied to the GP.</w:t>
      </w:r>
    </w:p>
    <w:p w14:paraId="244BFE88" w14:textId="77777777" w:rsidR="001724F3" w:rsidRPr="00773E21" w:rsidRDefault="001724F3" w:rsidP="001724F3">
      <w:pPr>
        <w:spacing w:after="165" w:line="240" w:lineRule="auto"/>
        <w:jc w:val="both"/>
        <w:rPr>
          <w:rFonts w:eastAsia="Times New Roman" w:cstheme="minorHAnsi"/>
          <w:color w:val="000000"/>
          <w:lang w:val="en" w:eastAsia="en-GB"/>
        </w:rPr>
      </w:pPr>
      <w:r w:rsidRPr="00773E21">
        <w:rPr>
          <w:rFonts w:eastAsia="Times New Roman" w:cstheme="minorHAnsi"/>
          <w:color w:val="000000"/>
          <w:lang w:val="en" w:eastAsia="en-GB"/>
        </w:rPr>
        <w:t>Conditions listed in the categories below will require a case-by-case discussion to decide whether, on the balance of risks, a child should be advised to continue shield. Not all children and young people in the categories listed below will need to shield.  If following a discussion, a child is advised not to shield, they should maintain stringent social distancing.</w:t>
      </w:r>
    </w:p>
    <w:p w14:paraId="1270782F" w14:textId="77777777" w:rsidR="001724F3" w:rsidRPr="00773E21" w:rsidRDefault="001724F3" w:rsidP="001724F3">
      <w:pPr>
        <w:spacing w:after="165" w:line="240" w:lineRule="auto"/>
        <w:jc w:val="both"/>
        <w:rPr>
          <w:rFonts w:eastAsia="Times New Roman" w:cstheme="minorHAnsi"/>
          <w:color w:val="000000"/>
          <w:lang w:val="en" w:eastAsia="en-GB"/>
        </w:rPr>
      </w:pPr>
      <w:r w:rsidRPr="00773E21">
        <w:rPr>
          <w:rFonts w:eastAsia="Times New Roman" w:cstheme="minorHAnsi"/>
          <w:color w:val="000000"/>
          <w:lang w:val="en" w:eastAsia="en-GB"/>
        </w:rPr>
        <w:t xml:space="preserve">Any decision on shielding should balance the clinical and social impact of shielding - weighing the benefit of keeping children and young people with underlying co-morbidities safe whilst protecting the most socially vulnerable, due to family and social circumstances, who may risk additional harm from continued shielding.  </w:t>
      </w:r>
      <w:r w:rsidRPr="00773E21">
        <w:rPr>
          <w:rFonts w:cstheme="minorHAnsi"/>
          <w:color w:val="000000"/>
          <w:lang w:val="en"/>
        </w:rPr>
        <w:t>There may be other patients who do not fit these categories below, but for whom secondary care clinicians feel, after discussions with families, that shielding is advisable. We advise contacting their tertiary specialists for advice.</w:t>
      </w:r>
    </w:p>
    <w:p w14:paraId="7FBF4F34" w14:textId="77777777" w:rsidR="001724F3" w:rsidRPr="00773E21" w:rsidRDefault="001724F3" w:rsidP="001724F3">
      <w:pPr>
        <w:spacing w:after="165" w:line="240" w:lineRule="auto"/>
        <w:jc w:val="both"/>
        <w:rPr>
          <w:rFonts w:eastAsia="Times New Roman" w:cstheme="minorHAnsi"/>
          <w:color w:val="000000"/>
          <w:lang w:val="en" w:eastAsia="en-GB"/>
        </w:rPr>
      </w:pPr>
    </w:p>
    <w:tbl>
      <w:tblPr>
        <w:tblStyle w:val="TableGrid"/>
        <w:tblW w:w="0" w:type="auto"/>
        <w:tblLook w:val="04A0" w:firstRow="1" w:lastRow="0" w:firstColumn="1" w:lastColumn="0" w:noHBand="0" w:noVBand="1"/>
      </w:tblPr>
      <w:tblGrid>
        <w:gridCol w:w="2122"/>
        <w:gridCol w:w="2386"/>
        <w:gridCol w:w="2717"/>
        <w:gridCol w:w="1791"/>
      </w:tblGrid>
      <w:tr w:rsidR="001724F3" w:rsidRPr="00773E21" w14:paraId="0EBF1BB7" w14:textId="77777777" w:rsidTr="00A37E9E">
        <w:tc>
          <w:tcPr>
            <w:tcW w:w="2122" w:type="dxa"/>
          </w:tcPr>
          <w:p w14:paraId="694E7D91" w14:textId="77777777" w:rsidR="001724F3" w:rsidRPr="00773E21" w:rsidRDefault="001724F3" w:rsidP="00A37E9E">
            <w:pPr>
              <w:spacing w:after="165"/>
              <w:rPr>
                <w:rFonts w:eastAsia="Times New Roman" w:cstheme="minorHAnsi"/>
                <w:color w:val="000000"/>
                <w:lang w:val="en" w:eastAsia="en-GB"/>
              </w:rPr>
            </w:pPr>
          </w:p>
        </w:tc>
        <w:tc>
          <w:tcPr>
            <w:tcW w:w="2386" w:type="dxa"/>
            <w:shd w:val="clear" w:color="auto" w:fill="FF0000"/>
          </w:tcPr>
          <w:p w14:paraId="0334114D" w14:textId="77777777" w:rsidR="001724F3" w:rsidRPr="00773E21" w:rsidRDefault="001724F3" w:rsidP="00A37E9E">
            <w:pPr>
              <w:spacing w:after="165"/>
              <w:rPr>
                <w:rFonts w:eastAsia="Times New Roman" w:cstheme="minorHAnsi"/>
                <w:b/>
                <w:bCs/>
                <w:color w:val="000000"/>
                <w:lang w:val="en" w:eastAsia="en-GB"/>
              </w:rPr>
            </w:pPr>
            <w:r w:rsidRPr="00773E21">
              <w:rPr>
                <w:rFonts w:eastAsia="Times New Roman" w:cstheme="minorHAnsi"/>
                <w:b/>
                <w:bCs/>
                <w:color w:val="000000"/>
                <w:lang w:val="en" w:eastAsia="en-GB"/>
              </w:rPr>
              <w:t>Clinically extremely vulnerable: shielding strongly recommended</w:t>
            </w:r>
          </w:p>
        </w:tc>
        <w:tc>
          <w:tcPr>
            <w:tcW w:w="2717" w:type="dxa"/>
            <w:shd w:val="clear" w:color="auto" w:fill="FFD966" w:themeFill="accent4" w:themeFillTint="99"/>
          </w:tcPr>
          <w:p w14:paraId="7F88607B" w14:textId="77777777" w:rsidR="001724F3" w:rsidRPr="00773E21" w:rsidRDefault="001724F3" w:rsidP="00A37E9E">
            <w:pPr>
              <w:spacing w:after="165"/>
              <w:rPr>
                <w:rFonts w:eastAsia="Times New Roman" w:cstheme="minorHAnsi"/>
                <w:b/>
                <w:bCs/>
                <w:color w:val="000000"/>
                <w:lang w:val="en" w:eastAsia="en-GB"/>
              </w:rPr>
            </w:pPr>
            <w:r w:rsidRPr="00773E21">
              <w:rPr>
                <w:rFonts w:eastAsia="Times New Roman" w:cstheme="minorHAnsi"/>
                <w:b/>
                <w:bCs/>
                <w:color w:val="000000"/>
                <w:lang w:val="en" w:eastAsia="en-GB"/>
              </w:rPr>
              <w:t>Case-by-case discussion on possibility of continuing to shield</w:t>
            </w:r>
          </w:p>
        </w:tc>
        <w:tc>
          <w:tcPr>
            <w:tcW w:w="1791" w:type="dxa"/>
            <w:shd w:val="clear" w:color="auto" w:fill="A8D08D" w:themeFill="accent6" w:themeFillTint="99"/>
          </w:tcPr>
          <w:p w14:paraId="2DEA40A7" w14:textId="77777777" w:rsidR="001724F3" w:rsidRPr="00773E21" w:rsidRDefault="001724F3" w:rsidP="00A37E9E">
            <w:pPr>
              <w:spacing w:after="165"/>
              <w:rPr>
                <w:rFonts w:eastAsia="Times New Roman" w:cstheme="minorHAnsi"/>
                <w:b/>
                <w:bCs/>
                <w:color w:val="000000"/>
                <w:lang w:val="en" w:eastAsia="en-GB"/>
              </w:rPr>
            </w:pPr>
            <w:r w:rsidRPr="00773E21">
              <w:rPr>
                <w:rFonts w:eastAsia="Times New Roman" w:cstheme="minorHAnsi"/>
                <w:b/>
                <w:bCs/>
                <w:color w:val="000000"/>
                <w:lang w:val="en" w:eastAsia="en-GB"/>
              </w:rPr>
              <w:t>Shielding no longer recommended</w:t>
            </w:r>
          </w:p>
        </w:tc>
      </w:tr>
      <w:tr w:rsidR="001724F3" w:rsidRPr="00773E21" w14:paraId="1D40D686" w14:textId="77777777" w:rsidTr="00A37E9E">
        <w:tc>
          <w:tcPr>
            <w:tcW w:w="2122" w:type="dxa"/>
          </w:tcPr>
          <w:p w14:paraId="5496F52D" w14:textId="77777777" w:rsidR="001724F3" w:rsidRPr="00773E21" w:rsidRDefault="001724F3" w:rsidP="00A37E9E">
            <w:pPr>
              <w:spacing w:after="165"/>
              <w:rPr>
                <w:rFonts w:eastAsia="Times New Roman" w:cstheme="minorHAnsi"/>
                <w:b/>
                <w:bCs/>
                <w:color w:val="000000"/>
                <w:lang w:val="en" w:eastAsia="en-GB"/>
              </w:rPr>
            </w:pPr>
            <w:r w:rsidRPr="00773E21">
              <w:rPr>
                <w:rFonts w:eastAsia="Times New Roman" w:cstheme="minorHAnsi"/>
                <w:b/>
                <w:bCs/>
                <w:color w:val="000000"/>
                <w:lang w:val="en" w:eastAsia="en-GB"/>
              </w:rPr>
              <w:t>Sickle cell disease</w:t>
            </w:r>
          </w:p>
        </w:tc>
        <w:tc>
          <w:tcPr>
            <w:tcW w:w="2386" w:type="dxa"/>
            <w:shd w:val="clear" w:color="auto" w:fill="FF0000"/>
          </w:tcPr>
          <w:p w14:paraId="3E4893F1" w14:textId="77777777" w:rsidR="001724F3" w:rsidRPr="00773E21" w:rsidRDefault="001724F3" w:rsidP="00A37E9E">
            <w:pPr>
              <w:spacing w:after="165"/>
              <w:rPr>
                <w:rFonts w:eastAsia="Times New Roman" w:cstheme="minorHAnsi"/>
                <w:color w:val="000000"/>
                <w:lang w:val="en" w:eastAsia="en-GB"/>
              </w:rPr>
            </w:pPr>
            <w:r w:rsidRPr="00773E21">
              <w:rPr>
                <w:rFonts w:eastAsia="Times New Roman" w:cstheme="minorHAnsi"/>
                <w:color w:val="000000"/>
                <w:lang w:val="en" w:eastAsia="en-GB"/>
              </w:rPr>
              <w:t>Children who have had a BMT within one year or are on continuing immunosuppression</w:t>
            </w:r>
          </w:p>
        </w:tc>
        <w:tc>
          <w:tcPr>
            <w:tcW w:w="2717" w:type="dxa"/>
            <w:shd w:val="clear" w:color="auto" w:fill="FFD966" w:themeFill="accent4" w:themeFillTint="99"/>
          </w:tcPr>
          <w:p w14:paraId="0160612B" w14:textId="77777777" w:rsidR="001724F3" w:rsidRPr="00773E21" w:rsidRDefault="001724F3" w:rsidP="00A37E9E">
            <w:pPr>
              <w:spacing w:after="165"/>
              <w:rPr>
                <w:rFonts w:eastAsia="Times New Roman" w:cstheme="minorHAnsi"/>
                <w:color w:val="000000"/>
                <w:lang w:val="en" w:eastAsia="en-GB"/>
              </w:rPr>
            </w:pPr>
            <w:r w:rsidRPr="00773E21">
              <w:rPr>
                <w:rFonts w:eastAsia="Times New Roman" w:cstheme="minorHAnsi"/>
                <w:color w:val="000000"/>
                <w:lang w:val="en" w:eastAsia="en-GB"/>
              </w:rPr>
              <w:t xml:space="preserve">Additional co-morbidities of concern </w:t>
            </w:r>
            <w:proofErr w:type="spellStart"/>
            <w:r w:rsidRPr="00773E21">
              <w:rPr>
                <w:rFonts w:eastAsia="Times New Roman" w:cstheme="minorHAnsi"/>
                <w:color w:val="000000"/>
                <w:lang w:val="en" w:eastAsia="en-GB"/>
              </w:rPr>
              <w:t>e.g</w:t>
            </w:r>
            <w:proofErr w:type="spellEnd"/>
            <w:r w:rsidRPr="00773E21">
              <w:rPr>
                <w:rFonts w:eastAsia="Times New Roman" w:cstheme="minorHAnsi"/>
                <w:color w:val="000000"/>
                <w:lang w:val="en" w:eastAsia="en-GB"/>
              </w:rPr>
              <w:t xml:space="preserve"> progressive critical </w:t>
            </w:r>
            <w:proofErr w:type="spellStart"/>
            <w:r w:rsidRPr="00773E21">
              <w:rPr>
                <w:rFonts w:eastAsia="Times New Roman" w:cstheme="minorHAnsi"/>
                <w:color w:val="000000"/>
                <w:lang w:val="en" w:eastAsia="en-GB"/>
              </w:rPr>
              <w:t>neurovasculopathy</w:t>
            </w:r>
            <w:proofErr w:type="spellEnd"/>
            <w:r w:rsidRPr="00773E21">
              <w:rPr>
                <w:rFonts w:eastAsia="Times New Roman" w:cstheme="minorHAnsi"/>
                <w:color w:val="000000"/>
                <w:lang w:val="en" w:eastAsia="en-GB"/>
              </w:rPr>
              <w:t>, severe or symptomatic heart failure</w:t>
            </w:r>
          </w:p>
          <w:p w14:paraId="697C4F36" w14:textId="77777777" w:rsidR="001724F3" w:rsidRPr="00773E21" w:rsidRDefault="001724F3" w:rsidP="00A37E9E">
            <w:pPr>
              <w:spacing w:after="165"/>
              <w:rPr>
                <w:rFonts w:eastAsia="Times New Roman" w:cstheme="minorHAnsi"/>
                <w:color w:val="000000"/>
                <w:lang w:val="en" w:eastAsia="en-GB"/>
              </w:rPr>
            </w:pPr>
            <w:r w:rsidRPr="00773E21">
              <w:rPr>
                <w:rFonts w:eastAsia="Times New Roman" w:cstheme="minorHAnsi"/>
                <w:color w:val="000000"/>
                <w:lang w:val="en" w:eastAsia="en-GB"/>
              </w:rPr>
              <w:t>A history, within the preceding 12 months, of either one or more chest crisis requiring ITU treatment or two of more chest crises requiring treatment</w:t>
            </w:r>
          </w:p>
        </w:tc>
        <w:tc>
          <w:tcPr>
            <w:tcW w:w="1791" w:type="dxa"/>
            <w:shd w:val="clear" w:color="auto" w:fill="A8D08D" w:themeFill="accent6" w:themeFillTint="99"/>
          </w:tcPr>
          <w:p w14:paraId="60F7CB58" w14:textId="77777777" w:rsidR="001724F3" w:rsidRPr="00773E21" w:rsidRDefault="001724F3" w:rsidP="00A37E9E">
            <w:pPr>
              <w:spacing w:after="165"/>
              <w:rPr>
                <w:rFonts w:eastAsia="Times New Roman" w:cstheme="minorHAnsi"/>
                <w:color w:val="000000"/>
                <w:lang w:val="en" w:eastAsia="en-GB"/>
              </w:rPr>
            </w:pPr>
            <w:r w:rsidRPr="00773E21">
              <w:rPr>
                <w:rFonts w:eastAsia="Times New Roman" w:cstheme="minorHAnsi"/>
                <w:color w:val="000000"/>
                <w:lang w:val="en" w:eastAsia="en-GB"/>
              </w:rPr>
              <w:t>All other children with sickle cell disease</w:t>
            </w:r>
          </w:p>
        </w:tc>
      </w:tr>
      <w:tr w:rsidR="001724F3" w:rsidRPr="00773E21" w14:paraId="5299B485" w14:textId="77777777" w:rsidTr="00A37E9E">
        <w:tc>
          <w:tcPr>
            <w:tcW w:w="2122" w:type="dxa"/>
          </w:tcPr>
          <w:p w14:paraId="5B728734" w14:textId="77777777" w:rsidR="001724F3" w:rsidRPr="00773E21" w:rsidRDefault="001724F3" w:rsidP="00A37E9E">
            <w:pPr>
              <w:spacing w:after="165"/>
              <w:rPr>
                <w:rFonts w:eastAsia="Times New Roman" w:cstheme="minorHAnsi"/>
                <w:b/>
                <w:bCs/>
                <w:color w:val="000000"/>
                <w:lang w:val="en" w:eastAsia="en-GB"/>
              </w:rPr>
            </w:pPr>
            <w:proofErr w:type="spellStart"/>
            <w:r w:rsidRPr="00773E21">
              <w:rPr>
                <w:rFonts w:eastAsia="Times New Roman" w:cstheme="minorHAnsi"/>
                <w:b/>
                <w:bCs/>
                <w:color w:val="000000"/>
                <w:lang w:val="en" w:eastAsia="en-GB"/>
              </w:rPr>
              <w:lastRenderedPageBreak/>
              <w:t>Thalassaemia</w:t>
            </w:r>
            <w:proofErr w:type="spellEnd"/>
          </w:p>
        </w:tc>
        <w:tc>
          <w:tcPr>
            <w:tcW w:w="2386" w:type="dxa"/>
            <w:shd w:val="clear" w:color="auto" w:fill="FF0000"/>
          </w:tcPr>
          <w:p w14:paraId="53B9BC64" w14:textId="77777777" w:rsidR="001724F3" w:rsidRPr="00773E21" w:rsidRDefault="001724F3" w:rsidP="00A37E9E">
            <w:pPr>
              <w:spacing w:after="165"/>
              <w:rPr>
                <w:rFonts w:eastAsia="Times New Roman" w:cstheme="minorHAnsi"/>
                <w:color w:val="000000"/>
                <w:lang w:val="en" w:eastAsia="en-GB"/>
              </w:rPr>
            </w:pPr>
            <w:r w:rsidRPr="00773E21">
              <w:rPr>
                <w:rFonts w:eastAsia="Times New Roman" w:cstheme="minorHAnsi"/>
                <w:color w:val="000000"/>
                <w:lang w:val="en" w:eastAsia="en-GB"/>
              </w:rPr>
              <w:t>Children who have had a BMT within one year or are on continuing immunosuppression</w:t>
            </w:r>
          </w:p>
        </w:tc>
        <w:tc>
          <w:tcPr>
            <w:tcW w:w="2717" w:type="dxa"/>
            <w:shd w:val="clear" w:color="auto" w:fill="FFD966" w:themeFill="accent4" w:themeFillTint="99"/>
          </w:tcPr>
          <w:p w14:paraId="177D34C1" w14:textId="27EDFFDF" w:rsidR="001724F3" w:rsidRPr="00773E21" w:rsidRDefault="001724F3" w:rsidP="008564CE">
            <w:pPr>
              <w:spacing w:after="165"/>
              <w:rPr>
                <w:rFonts w:eastAsia="Times New Roman" w:cstheme="minorHAnsi"/>
                <w:color w:val="000000"/>
                <w:lang w:val="en" w:eastAsia="en-GB"/>
              </w:rPr>
            </w:pPr>
            <w:r w:rsidRPr="00773E21">
              <w:rPr>
                <w:rFonts w:eastAsia="Times New Roman" w:cstheme="minorHAnsi"/>
                <w:color w:val="000000"/>
                <w:lang w:val="en" w:eastAsia="en-GB"/>
              </w:rPr>
              <w:t xml:space="preserve">Severe </w:t>
            </w:r>
            <w:r w:rsidR="008564CE">
              <w:rPr>
                <w:rFonts w:eastAsia="Times New Roman" w:cstheme="minorHAnsi"/>
                <w:color w:val="000000"/>
                <w:lang w:val="en" w:eastAsia="en-GB"/>
              </w:rPr>
              <w:t xml:space="preserve">cardiac </w:t>
            </w:r>
            <w:r w:rsidRPr="00773E21">
              <w:rPr>
                <w:rFonts w:eastAsia="Times New Roman" w:cstheme="minorHAnsi"/>
                <w:color w:val="000000"/>
                <w:lang w:val="en" w:eastAsia="en-GB"/>
              </w:rPr>
              <w:t>iron overload (</w:t>
            </w:r>
            <w:r w:rsidR="000011E1">
              <w:rPr>
                <w:rFonts w:eastAsia="Times New Roman" w:cstheme="minorHAnsi"/>
                <w:color w:val="000000"/>
                <w:lang w:val="en" w:eastAsia="en-GB"/>
              </w:rPr>
              <w:t>T</w:t>
            </w:r>
            <w:r w:rsidRPr="00773E21">
              <w:rPr>
                <w:rFonts w:eastAsia="Times New Roman" w:cstheme="minorHAnsi"/>
                <w:color w:val="000000"/>
                <w:lang w:val="en" w:eastAsia="en-GB"/>
              </w:rPr>
              <w:t xml:space="preserve">2 *&lt;10 </w:t>
            </w:r>
            <w:proofErr w:type="spellStart"/>
            <w:r w:rsidRPr="00773E21">
              <w:rPr>
                <w:rFonts w:eastAsia="Times New Roman" w:cstheme="minorHAnsi"/>
                <w:color w:val="000000"/>
                <w:lang w:val="en" w:eastAsia="en-GB"/>
              </w:rPr>
              <w:t>ms</w:t>
            </w:r>
            <w:proofErr w:type="spellEnd"/>
            <w:r w:rsidRPr="00773E21">
              <w:rPr>
                <w:rFonts w:eastAsia="Times New Roman" w:cstheme="minorHAnsi"/>
                <w:color w:val="000000"/>
                <w:lang w:val="en" w:eastAsia="en-GB"/>
              </w:rPr>
              <w:t>) plus additional co-morbidity causing concern (</w:t>
            </w:r>
            <w:proofErr w:type="spellStart"/>
            <w:r w:rsidRPr="00773E21">
              <w:rPr>
                <w:rFonts w:eastAsia="Times New Roman" w:cstheme="minorHAnsi"/>
                <w:color w:val="000000"/>
                <w:lang w:val="en" w:eastAsia="en-GB"/>
              </w:rPr>
              <w:t>eg</w:t>
            </w:r>
            <w:proofErr w:type="spellEnd"/>
            <w:r w:rsidRPr="00773E21">
              <w:rPr>
                <w:rFonts w:eastAsia="Times New Roman" w:cstheme="minorHAnsi"/>
                <w:color w:val="000000"/>
                <w:lang w:val="en" w:eastAsia="en-GB"/>
              </w:rPr>
              <w:t xml:space="preserve"> splenectomy)</w:t>
            </w:r>
          </w:p>
        </w:tc>
        <w:tc>
          <w:tcPr>
            <w:tcW w:w="1791" w:type="dxa"/>
            <w:shd w:val="clear" w:color="auto" w:fill="A8D08D" w:themeFill="accent6" w:themeFillTint="99"/>
          </w:tcPr>
          <w:p w14:paraId="395D7D39" w14:textId="77777777" w:rsidR="001724F3" w:rsidRPr="00773E21" w:rsidRDefault="001724F3" w:rsidP="00A37E9E">
            <w:pPr>
              <w:spacing w:after="165"/>
              <w:rPr>
                <w:rFonts w:eastAsia="Times New Roman" w:cstheme="minorHAnsi"/>
                <w:color w:val="000000"/>
                <w:lang w:val="en" w:eastAsia="en-GB"/>
              </w:rPr>
            </w:pPr>
            <w:r w:rsidRPr="00773E21">
              <w:rPr>
                <w:rFonts w:eastAsia="Times New Roman" w:cstheme="minorHAnsi"/>
                <w:color w:val="000000"/>
                <w:lang w:val="en" w:eastAsia="en-GB"/>
              </w:rPr>
              <w:t xml:space="preserve">All other children with </w:t>
            </w:r>
            <w:proofErr w:type="spellStart"/>
            <w:r w:rsidRPr="00773E21">
              <w:rPr>
                <w:rFonts w:eastAsia="Times New Roman" w:cstheme="minorHAnsi"/>
                <w:color w:val="000000"/>
                <w:lang w:val="en" w:eastAsia="en-GB"/>
              </w:rPr>
              <w:t>thalassaemia</w:t>
            </w:r>
            <w:proofErr w:type="spellEnd"/>
          </w:p>
        </w:tc>
      </w:tr>
      <w:tr w:rsidR="001724F3" w:rsidRPr="00773E21" w14:paraId="02B80EA1" w14:textId="77777777" w:rsidTr="00A37E9E">
        <w:tc>
          <w:tcPr>
            <w:tcW w:w="2122" w:type="dxa"/>
          </w:tcPr>
          <w:p w14:paraId="6DAF30B9" w14:textId="77777777" w:rsidR="001724F3" w:rsidRPr="00773E21" w:rsidRDefault="001724F3" w:rsidP="00A37E9E">
            <w:pPr>
              <w:spacing w:after="165"/>
              <w:rPr>
                <w:rFonts w:eastAsia="Times New Roman" w:cstheme="minorHAnsi"/>
                <w:b/>
                <w:bCs/>
                <w:color w:val="000000"/>
                <w:lang w:val="en" w:eastAsia="en-GB"/>
              </w:rPr>
            </w:pPr>
            <w:r w:rsidRPr="00773E21">
              <w:rPr>
                <w:rFonts w:eastAsia="Times New Roman" w:cstheme="minorHAnsi"/>
                <w:b/>
                <w:bCs/>
                <w:color w:val="000000"/>
                <w:lang w:val="en" w:eastAsia="en-GB"/>
              </w:rPr>
              <w:t>DBA</w:t>
            </w:r>
          </w:p>
        </w:tc>
        <w:tc>
          <w:tcPr>
            <w:tcW w:w="2386" w:type="dxa"/>
            <w:shd w:val="clear" w:color="auto" w:fill="FF0000"/>
          </w:tcPr>
          <w:p w14:paraId="74ED2450" w14:textId="77777777" w:rsidR="001724F3" w:rsidRPr="00773E21" w:rsidRDefault="001724F3" w:rsidP="00A37E9E">
            <w:pPr>
              <w:spacing w:after="165"/>
              <w:rPr>
                <w:rFonts w:eastAsia="Times New Roman" w:cstheme="minorHAnsi"/>
                <w:color w:val="000000"/>
                <w:lang w:val="en" w:eastAsia="en-GB"/>
              </w:rPr>
            </w:pPr>
            <w:r w:rsidRPr="00773E21">
              <w:rPr>
                <w:rFonts w:eastAsia="Times New Roman" w:cstheme="minorHAnsi"/>
                <w:color w:val="000000"/>
                <w:lang w:val="en" w:eastAsia="en-GB"/>
              </w:rPr>
              <w:t>Children who have had a BMT within one year or are on continuing immunosuppression</w:t>
            </w:r>
          </w:p>
        </w:tc>
        <w:tc>
          <w:tcPr>
            <w:tcW w:w="2717" w:type="dxa"/>
            <w:shd w:val="clear" w:color="auto" w:fill="FFD966" w:themeFill="accent4" w:themeFillTint="99"/>
          </w:tcPr>
          <w:p w14:paraId="4896FBAF" w14:textId="77777777" w:rsidR="001724F3" w:rsidRPr="00773E21" w:rsidRDefault="001724F3" w:rsidP="00A37E9E">
            <w:pPr>
              <w:spacing w:after="165"/>
              <w:rPr>
                <w:rFonts w:eastAsia="Times New Roman" w:cstheme="minorHAnsi"/>
                <w:color w:val="000000"/>
                <w:lang w:val="en" w:eastAsia="en-GB"/>
              </w:rPr>
            </w:pPr>
            <w:r w:rsidRPr="00773E21">
              <w:rPr>
                <w:rFonts w:eastAsia="Times New Roman" w:cstheme="minorHAnsi"/>
                <w:color w:val="000000"/>
                <w:lang w:val="en" w:eastAsia="en-GB"/>
              </w:rPr>
              <w:t xml:space="preserve">Associated immunodeficiency, severe iron overload (as per </w:t>
            </w:r>
            <w:proofErr w:type="spellStart"/>
            <w:r w:rsidRPr="00773E21">
              <w:rPr>
                <w:rFonts w:eastAsia="Times New Roman" w:cstheme="minorHAnsi"/>
                <w:color w:val="000000"/>
                <w:lang w:val="en" w:eastAsia="en-GB"/>
              </w:rPr>
              <w:t>thalassaemia</w:t>
            </w:r>
            <w:proofErr w:type="spellEnd"/>
            <w:r w:rsidRPr="00773E21">
              <w:rPr>
                <w:rFonts w:eastAsia="Times New Roman" w:cstheme="minorHAnsi"/>
                <w:color w:val="000000"/>
                <w:lang w:val="en" w:eastAsia="en-GB"/>
              </w:rPr>
              <w:t xml:space="preserve"> definition) or are on prednisolone (or equivalent) ≥0.5 mg/kg/day</w:t>
            </w:r>
          </w:p>
        </w:tc>
        <w:tc>
          <w:tcPr>
            <w:tcW w:w="1791" w:type="dxa"/>
            <w:shd w:val="clear" w:color="auto" w:fill="A8D08D" w:themeFill="accent6" w:themeFillTint="99"/>
          </w:tcPr>
          <w:p w14:paraId="634254B2" w14:textId="77777777" w:rsidR="001724F3" w:rsidRPr="00773E21" w:rsidRDefault="001724F3" w:rsidP="00A37E9E">
            <w:pPr>
              <w:spacing w:after="165"/>
              <w:rPr>
                <w:rFonts w:eastAsia="Times New Roman" w:cstheme="minorHAnsi"/>
                <w:color w:val="000000"/>
                <w:lang w:val="en" w:eastAsia="en-GB"/>
              </w:rPr>
            </w:pPr>
            <w:r w:rsidRPr="00773E21">
              <w:rPr>
                <w:rFonts w:eastAsia="Times New Roman" w:cstheme="minorHAnsi"/>
                <w:color w:val="000000"/>
                <w:lang w:val="en" w:eastAsia="en-GB"/>
              </w:rPr>
              <w:t>All other children with DBA</w:t>
            </w:r>
          </w:p>
        </w:tc>
      </w:tr>
      <w:tr w:rsidR="001724F3" w:rsidRPr="00773E21" w14:paraId="3A8BC6B8" w14:textId="77777777" w:rsidTr="00A37E9E">
        <w:tc>
          <w:tcPr>
            <w:tcW w:w="2122" w:type="dxa"/>
          </w:tcPr>
          <w:p w14:paraId="6A15E16C" w14:textId="77777777" w:rsidR="001724F3" w:rsidRPr="00773E21" w:rsidRDefault="001724F3" w:rsidP="00A37E9E">
            <w:pPr>
              <w:spacing w:after="165"/>
              <w:rPr>
                <w:rFonts w:eastAsia="Times New Roman" w:cstheme="minorHAnsi"/>
                <w:b/>
                <w:bCs/>
                <w:color w:val="000000"/>
                <w:lang w:val="en" w:eastAsia="en-GB"/>
              </w:rPr>
            </w:pPr>
            <w:r w:rsidRPr="00773E21">
              <w:rPr>
                <w:rFonts w:eastAsia="Times New Roman" w:cstheme="minorHAnsi"/>
                <w:b/>
                <w:bCs/>
                <w:color w:val="000000"/>
                <w:lang w:val="en" w:eastAsia="en-GB"/>
              </w:rPr>
              <w:t xml:space="preserve">Other rare inherited </w:t>
            </w:r>
            <w:proofErr w:type="spellStart"/>
            <w:r w:rsidRPr="00773E21">
              <w:rPr>
                <w:rFonts w:eastAsia="Times New Roman" w:cstheme="minorHAnsi"/>
                <w:b/>
                <w:bCs/>
                <w:color w:val="000000"/>
                <w:lang w:val="en" w:eastAsia="en-GB"/>
              </w:rPr>
              <w:t>anaemias</w:t>
            </w:r>
            <w:proofErr w:type="spellEnd"/>
            <w:r w:rsidRPr="00773E21">
              <w:rPr>
                <w:rFonts w:eastAsia="Times New Roman" w:cstheme="minorHAnsi"/>
                <w:b/>
                <w:bCs/>
                <w:color w:val="000000"/>
                <w:lang w:val="en" w:eastAsia="en-GB"/>
              </w:rPr>
              <w:t xml:space="preserve">, e.g. pyruvate kinase deficiency, congenital </w:t>
            </w:r>
            <w:proofErr w:type="spellStart"/>
            <w:r w:rsidRPr="00773E21">
              <w:rPr>
                <w:rFonts w:eastAsia="Times New Roman" w:cstheme="minorHAnsi"/>
                <w:b/>
                <w:bCs/>
                <w:color w:val="000000"/>
                <w:lang w:val="en" w:eastAsia="en-GB"/>
              </w:rPr>
              <w:t>dyserythopoietic</w:t>
            </w:r>
            <w:proofErr w:type="spellEnd"/>
            <w:r w:rsidRPr="00773E21">
              <w:rPr>
                <w:rFonts w:eastAsia="Times New Roman" w:cstheme="minorHAnsi"/>
                <w:b/>
                <w:bCs/>
                <w:color w:val="000000"/>
                <w:lang w:val="en" w:eastAsia="en-GB"/>
              </w:rPr>
              <w:t xml:space="preserve"> anaemia</w:t>
            </w:r>
          </w:p>
        </w:tc>
        <w:tc>
          <w:tcPr>
            <w:tcW w:w="2386" w:type="dxa"/>
            <w:shd w:val="clear" w:color="auto" w:fill="FF0000"/>
          </w:tcPr>
          <w:p w14:paraId="6475C925" w14:textId="77777777" w:rsidR="001724F3" w:rsidRPr="00773E21" w:rsidRDefault="001724F3" w:rsidP="00A37E9E">
            <w:pPr>
              <w:spacing w:after="165"/>
              <w:rPr>
                <w:rFonts w:eastAsia="Times New Roman" w:cstheme="minorHAnsi"/>
                <w:color w:val="000000"/>
                <w:lang w:val="en" w:eastAsia="en-GB"/>
              </w:rPr>
            </w:pPr>
            <w:r w:rsidRPr="00773E21">
              <w:rPr>
                <w:rFonts w:eastAsia="Times New Roman" w:cstheme="minorHAnsi"/>
                <w:color w:val="000000"/>
                <w:lang w:val="en" w:eastAsia="en-GB"/>
              </w:rPr>
              <w:t>Children who have had a BMT within one year or are on continuing immunosuppression</w:t>
            </w:r>
          </w:p>
        </w:tc>
        <w:tc>
          <w:tcPr>
            <w:tcW w:w="2717" w:type="dxa"/>
            <w:shd w:val="clear" w:color="auto" w:fill="FFD966" w:themeFill="accent4" w:themeFillTint="99"/>
          </w:tcPr>
          <w:p w14:paraId="15B28A47" w14:textId="24605F7B" w:rsidR="001724F3" w:rsidRPr="00773E21" w:rsidRDefault="001724F3" w:rsidP="008564CE">
            <w:pPr>
              <w:spacing w:after="165"/>
              <w:rPr>
                <w:rFonts w:eastAsia="Times New Roman" w:cstheme="minorHAnsi"/>
                <w:color w:val="000000"/>
                <w:lang w:val="en" w:eastAsia="en-GB"/>
              </w:rPr>
            </w:pPr>
            <w:r w:rsidRPr="00773E21">
              <w:rPr>
                <w:rFonts w:eastAsia="Times New Roman" w:cstheme="minorHAnsi"/>
                <w:color w:val="000000"/>
                <w:lang w:val="en" w:eastAsia="en-GB"/>
              </w:rPr>
              <w:t>Severe</w:t>
            </w:r>
            <w:r w:rsidR="008564CE">
              <w:rPr>
                <w:rFonts w:eastAsia="Times New Roman" w:cstheme="minorHAnsi"/>
                <w:color w:val="000000"/>
                <w:lang w:val="en" w:eastAsia="en-GB"/>
              </w:rPr>
              <w:t xml:space="preserve"> cardiac</w:t>
            </w:r>
            <w:r w:rsidRPr="00773E21">
              <w:rPr>
                <w:rFonts w:eastAsia="Times New Roman" w:cstheme="minorHAnsi"/>
                <w:color w:val="000000"/>
                <w:lang w:val="en" w:eastAsia="en-GB"/>
              </w:rPr>
              <w:t xml:space="preserve"> iron overload (T2 *&lt;10 </w:t>
            </w:r>
            <w:proofErr w:type="spellStart"/>
            <w:r w:rsidRPr="00773E21">
              <w:rPr>
                <w:rFonts w:eastAsia="Times New Roman" w:cstheme="minorHAnsi"/>
                <w:color w:val="000000"/>
                <w:lang w:val="en" w:eastAsia="en-GB"/>
              </w:rPr>
              <w:t>ms</w:t>
            </w:r>
            <w:proofErr w:type="spellEnd"/>
            <w:r w:rsidRPr="00773E21">
              <w:rPr>
                <w:rFonts w:eastAsia="Times New Roman" w:cstheme="minorHAnsi"/>
                <w:color w:val="000000"/>
                <w:lang w:val="en" w:eastAsia="en-GB"/>
              </w:rPr>
              <w:t>) plus additional co-morbidity causing concern (</w:t>
            </w:r>
            <w:proofErr w:type="spellStart"/>
            <w:r w:rsidRPr="00773E21">
              <w:rPr>
                <w:rFonts w:eastAsia="Times New Roman" w:cstheme="minorHAnsi"/>
                <w:color w:val="000000"/>
                <w:lang w:val="en" w:eastAsia="en-GB"/>
              </w:rPr>
              <w:t>eg</w:t>
            </w:r>
            <w:proofErr w:type="spellEnd"/>
            <w:r w:rsidRPr="00773E21">
              <w:rPr>
                <w:rFonts w:eastAsia="Times New Roman" w:cstheme="minorHAnsi"/>
                <w:color w:val="000000"/>
                <w:lang w:val="en" w:eastAsia="en-GB"/>
              </w:rPr>
              <w:t xml:space="preserve"> splenectomy)</w:t>
            </w:r>
          </w:p>
        </w:tc>
        <w:tc>
          <w:tcPr>
            <w:tcW w:w="1791" w:type="dxa"/>
            <w:shd w:val="clear" w:color="auto" w:fill="A8D08D" w:themeFill="accent6" w:themeFillTint="99"/>
          </w:tcPr>
          <w:p w14:paraId="7D6F869A" w14:textId="77777777" w:rsidR="001724F3" w:rsidRPr="00773E21" w:rsidRDefault="001724F3" w:rsidP="00A37E9E">
            <w:pPr>
              <w:spacing w:after="165"/>
              <w:rPr>
                <w:rFonts w:eastAsia="Times New Roman" w:cstheme="minorHAnsi"/>
                <w:color w:val="000000"/>
                <w:lang w:val="en" w:eastAsia="en-GB"/>
              </w:rPr>
            </w:pPr>
            <w:r w:rsidRPr="00773E21">
              <w:rPr>
                <w:rFonts w:eastAsia="Times New Roman" w:cstheme="minorHAnsi"/>
                <w:color w:val="000000"/>
                <w:lang w:val="en" w:eastAsia="en-GB"/>
              </w:rPr>
              <w:t>All other children with inherited anaemia</w:t>
            </w:r>
          </w:p>
        </w:tc>
      </w:tr>
    </w:tbl>
    <w:p w14:paraId="1F535597" w14:textId="77777777" w:rsidR="001724F3" w:rsidRPr="00773E21" w:rsidRDefault="001724F3" w:rsidP="001724F3">
      <w:pPr>
        <w:spacing w:after="165" w:line="240" w:lineRule="auto"/>
        <w:rPr>
          <w:rFonts w:eastAsia="Times New Roman" w:cstheme="minorHAnsi"/>
          <w:color w:val="000000"/>
          <w:lang w:val="en" w:eastAsia="en-GB"/>
        </w:rPr>
      </w:pPr>
    </w:p>
    <w:p w14:paraId="2C7C4B11" w14:textId="77777777" w:rsidR="00BB0C8F" w:rsidRPr="00BB0C8F" w:rsidRDefault="00BB0C8F" w:rsidP="00BB0C8F">
      <w:pPr>
        <w:pStyle w:val="xmsonormal"/>
        <w:shd w:val="clear" w:color="auto" w:fill="FFFFFF"/>
        <w:spacing w:after="165"/>
        <w:jc w:val="both"/>
      </w:pPr>
      <w:r>
        <w:rPr>
          <w:color w:val="000000"/>
          <w:lang w:val="en"/>
        </w:rPr>
        <w:t>Clinicians should discuss with children and their families/</w:t>
      </w:r>
      <w:proofErr w:type="spellStart"/>
      <w:r>
        <w:rPr>
          <w:color w:val="000000"/>
          <w:lang w:val="en"/>
        </w:rPr>
        <w:t>carers</w:t>
      </w:r>
      <w:proofErr w:type="spellEnd"/>
      <w:r>
        <w:rPr>
          <w:color w:val="000000"/>
          <w:lang w:val="en"/>
        </w:rPr>
        <w:t xml:space="preserve"> their removal from the shielding list and update the shielding lists accordingly. Patients can only be removed from the shielding patient list by their GP or specialist, following </w:t>
      </w:r>
      <w:r w:rsidRPr="00BB0C8F">
        <w:rPr>
          <w:lang w:val="en"/>
        </w:rPr>
        <w:t>consultation (via letter, phone call or face to face discussion) with the child and their family, and other clinicians where appropriate.</w:t>
      </w:r>
    </w:p>
    <w:p w14:paraId="3758870B" w14:textId="77777777" w:rsidR="00BB0C8F" w:rsidRDefault="00BB0C8F" w:rsidP="00BB0C8F">
      <w:pPr>
        <w:pStyle w:val="xmsoplaintext"/>
        <w:shd w:val="clear" w:color="auto" w:fill="FFFFFF"/>
      </w:pPr>
      <w:r>
        <w:rPr>
          <w:color w:val="212121"/>
        </w:rPr>
        <w:t xml:space="preserve">It is likely that the majority of children and young people with </w:t>
      </w:r>
      <w:proofErr w:type="gramStart"/>
      <w:r>
        <w:rPr>
          <w:color w:val="212121"/>
        </w:rPr>
        <w:t>haemoglobinopathies  and</w:t>
      </w:r>
      <w:proofErr w:type="gramEnd"/>
      <w:r>
        <w:rPr>
          <w:color w:val="212121"/>
        </w:rPr>
        <w:t xml:space="preserve"> inherited anaemias will be removed from the shielding lists and will NOT need to shield if shielding is re-introduced. It is essential that the shielding lists are kept up to date to ensure we don’t cause harm by keeping children away from home unnecessarily. </w:t>
      </w:r>
    </w:p>
    <w:p w14:paraId="08CBE830" w14:textId="77777777" w:rsidR="0088558A" w:rsidRDefault="0088558A" w:rsidP="00D15FB4">
      <w:pPr>
        <w:pStyle w:val="PlainText"/>
      </w:pPr>
    </w:p>
    <w:p w14:paraId="11972187" w14:textId="77777777" w:rsidR="0088558A" w:rsidRDefault="0088558A" w:rsidP="00D15FB4">
      <w:pPr>
        <w:pStyle w:val="PlainText"/>
      </w:pPr>
    </w:p>
    <w:p w14:paraId="6DEDF256" w14:textId="77777777" w:rsidR="0088558A" w:rsidRDefault="0088558A" w:rsidP="00D15FB4">
      <w:pPr>
        <w:pStyle w:val="PlainText"/>
      </w:pPr>
    </w:p>
    <w:p w14:paraId="5C76B338" w14:textId="43FF7D59" w:rsidR="0088558A" w:rsidRPr="0088558A" w:rsidRDefault="0088558A" w:rsidP="0088558A">
      <w:pPr>
        <w:pBdr>
          <w:top w:val="single" w:sz="4" w:space="10" w:color="5B9BD5" w:themeColor="accent1"/>
          <w:bottom w:val="single" w:sz="4" w:space="10" w:color="5B9BD5" w:themeColor="accent1"/>
        </w:pBdr>
        <w:spacing w:before="360" w:after="360"/>
        <w:ind w:left="864" w:right="864"/>
        <w:jc w:val="center"/>
        <w:rPr>
          <w:rFonts w:cstheme="minorHAnsi"/>
          <w:b/>
          <w:bCs/>
          <w:i/>
          <w:iCs/>
          <w:color w:val="5B9BD5" w:themeColor="accent1"/>
        </w:rPr>
      </w:pPr>
      <w:r>
        <w:rPr>
          <w:rFonts w:cstheme="minorHAnsi"/>
          <w:b/>
          <w:bCs/>
          <w:i/>
          <w:iCs/>
          <w:color w:val="5B9BD5" w:themeColor="accent1"/>
        </w:rPr>
        <w:t>3</w:t>
      </w:r>
      <w:r w:rsidRPr="0088558A">
        <w:rPr>
          <w:rFonts w:cstheme="minorHAnsi"/>
          <w:b/>
          <w:bCs/>
          <w:i/>
          <w:iCs/>
          <w:color w:val="5B9BD5" w:themeColor="accent1"/>
        </w:rPr>
        <w:t xml:space="preserve"> </w:t>
      </w:r>
      <w:r w:rsidR="00D31033">
        <w:rPr>
          <w:rFonts w:cstheme="minorHAnsi"/>
          <w:b/>
          <w:bCs/>
          <w:i/>
          <w:iCs/>
          <w:color w:val="5B9BD5" w:themeColor="accent1"/>
        </w:rPr>
        <w:t>Planned changes to risk assessment in adults</w:t>
      </w:r>
    </w:p>
    <w:p w14:paraId="681DC49A" w14:textId="122B2B2C" w:rsidR="0088558A" w:rsidRDefault="0088558A" w:rsidP="00D31033">
      <w:pPr>
        <w:pStyle w:val="PlainText"/>
      </w:pPr>
      <w:r>
        <w:t>Current advice for adults (as of August 13</w:t>
      </w:r>
      <w:r w:rsidRPr="0088558A">
        <w:rPr>
          <w:vertAlign w:val="superscript"/>
        </w:rPr>
        <w:t>th</w:t>
      </w:r>
      <w:r w:rsidR="00E15957">
        <w:t xml:space="preserve"> </w:t>
      </w:r>
      <w:r w:rsidR="00D31033">
        <w:t>2020) is that patients</w:t>
      </w:r>
      <w:r w:rsidR="00725993">
        <w:t xml:space="preserve"> who are on the list of ‘clinically extremely vulnerable’</w:t>
      </w:r>
      <w:r>
        <w:t xml:space="preserve"> could be advised to shield again if there is an increase of COVID-19 in the community. </w:t>
      </w:r>
      <w:r w:rsidR="00725993">
        <w:t xml:space="preserve">This could be national advice or may be local advice if there are local lock-downs. </w:t>
      </w:r>
    </w:p>
    <w:p w14:paraId="5070A9C7" w14:textId="77777777" w:rsidR="0088558A" w:rsidRDefault="0088558A" w:rsidP="00D31033">
      <w:pPr>
        <w:pStyle w:val="PlainText"/>
      </w:pPr>
    </w:p>
    <w:p w14:paraId="0D2E2870" w14:textId="3A422145" w:rsidR="0088558A" w:rsidRDefault="0088558A" w:rsidP="00D31033">
      <w:pPr>
        <w:pStyle w:val="PlainText"/>
      </w:pPr>
      <w:r>
        <w:t>The government are developing a national risk assessment tool for adults. This is based on large data sets that identify risk factors for severe COVID-19 infection. This will include factors such as age, renal disease, diabetes and cardiovascular disease. Sickle cell disease will also be included as a risk factor. Patients will be given a risk score based on all of these risk</w:t>
      </w:r>
      <w:r w:rsidR="00E15957">
        <w:t xml:space="preserve"> factors</w:t>
      </w:r>
      <w:r>
        <w:t xml:space="preserve">.  It is expected that this tool will be available in September and </w:t>
      </w:r>
      <w:r w:rsidR="00E15957">
        <w:t xml:space="preserve">once this is available </w:t>
      </w:r>
      <w:r>
        <w:t xml:space="preserve">clinicians who look after adults with Haemoglobinopathies and Rare Anaemias </w:t>
      </w:r>
      <w:r w:rsidR="00E15957">
        <w:t>will need to work wit</w:t>
      </w:r>
      <w:r>
        <w:t>h their patients to produce a</w:t>
      </w:r>
      <w:r w:rsidR="00E15957">
        <w:t xml:space="preserve"> risk score and</w:t>
      </w:r>
      <w:r w:rsidR="00D31033">
        <w:t xml:space="preserve"> provide advic</w:t>
      </w:r>
      <w:r w:rsidR="00E15957">
        <w:t xml:space="preserve">e on risk. </w:t>
      </w:r>
    </w:p>
    <w:p w14:paraId="40534E68" w14:textId="08187363" w:rsidR="00E15957" w:rsidRDefault="00E15957" w:rsidP="00D31033">
      <w:pPr>
        <w:pStyle w:val="PlainText"/>
      </w:pPr>
      <w:r>
        <w:t xml:space="preserve">The protocol of this risk assessment tool is given here. </w:t>
      </w:r>
    </w:p>
    <w:p w14:paraId="5160C2A7" w14:textId="56869B3A" w:rsidR="00E15957" w:rsidRDefault="00E15957" w:rsidP="00D31033">
      <w:pPr>
        <w:pStyle w:val="PlainText"/>
      </w:pPr>
      <w:r w:rsidRPr="00E15957">
        <w:t>https://www.medrxiv.org/content/10.1101/2020.06.28.20141986v1.full.pdf</w:t>
      </w:r>
    </w:p>
    <w:p w14:paraId="3ED20ECE" w14:textId="77777777" w:rsidR="0088558A" w:rsidRDefault="0088558A" w:rsidP="00D31033">
      <w:pPr>
        <w:pStyle w:val="PlainText"/>
      </w:pPr>
    </w:p>
    <w:p w14:paraId="1B8EBE91" w14:textId="1C2CF3D5" w:rsidR="0088558A" w:rsidRDefault="0088558A" w:rsidP="00D31033">
      <w:pPr>
        <w:pStyle w:val="PlainText"/>
      </w:pPr>
      <w:r>
        <w:t>This tool is based on large data sets and as we look after rare conditions and rare complications of these conditions, these may occur too infrequently to influence this national tool. We have developed some guidance on rare complications which should be taken into consideration when discussing risk scores. This is based on data from national dat</w:t>
      </w:r>
      <w:r w:rsidR="00E15957">
        <w:t xml:space="preserve">a collection (Telfer et al 2020 </w:t>
      </w:r>
      <w:proofErr w:type="spellStart"/>
      <w:r w:rsidR="00E15957">
        <w:t>Haematologica</w:t>
      </w:r>
      <w:proofErr w:type="spellEnd"/>
      <w:r w:rsidR="00E15957">
        <w:t xml:space="preserve"> in press</w:t>
      </w:r>
      <w:r>
        <w:t xml:space="preserve">), from observational data and from expert opinion. </w:t>
      </w:r>
    </w:p>
    <w:p w14:paraId="1AC193DE" w14:textId="77777777" w:rsidR="00D31033" w:rsidRDefault="00D31033" w:rsidP="00D31033">
      <w:pPr>
        <w:pStyle w:val="PlainText"/>
      </w:pPr>
    </w:p>
    <w:p w14:paraId="4730C301" w14:textId="1D28A537" w:rsidR="00725993" w:rsidRDefault="00725993" w:rsidP="00725993">
      <w:pPr>
        <w:pStyle w:val="PlainText"/>
      </w:pPr>
      <w:r>
        <w:t xml:space="preserve"> </w:t>
      </w:r>
    </w:p>
    <w:p w14:paraId="0F52765B" w14:textId="77777777" w:rsidR="00D31033" w:rsidRDefault="00D31033" w:rsidP="00D31033">
      <w:pPr>
        <w:pStyle w:val="PlainText"/>
      </w:pPr>
    </w:p>
    <w:p w14:paraId="62E33615" w14:textId="77777777" w:rsidR="00D31033" w:rsidRPr="00F5378D" w:rsidRDefault="00D31033" w:rsidP="00D31033">
      <w:pPr>
        <w:pBdr>
          <w:top w:val="single" w:sz="4" w:space="10" w:color="5B9BD5" w:themeColor="accent1"/>
          <w:bottom w:val="single" w:sz="4" w:space="10" w:color="5B9BD5" w:themeColor="accent1"/>
        </w:pBdr>
        <w:spacing w:before="360" w:after="360"/>
        <w:ind w:left="864" w:right="864"/>
        <w:jc w:val="center"/>
        <w:rPr>
          <w:rFonts w:cstheme="minorHAnsi"/>
          <w:b/>
          <w:bCs/>
          <w:i/>
          <w:iCs/>
          <w:color w:val="5B9BD5" w:themeColor="accent1"/>
        </w:rPr>
      </w:pPr>
      <w:r>
        <w:rPr>
          <w:rFonts w:cstheme="minorHAnsi"/>
          <w:b/>
          <w:bCs/>
          <w:i/>
          <w:iCs/>
          <w:color w:val="5B9BD5" w:themeColor="accent1"/>
        </w:rPr>
        <w:t>4</w:t>
      </w:r>
      <w:r w:rsidRPr="00F5378D">
        <w:rPr>
          <w:rFonts w:cstheme="minorHAnsi"/>
          <w:b/>
          <w:bCs/>
          <w:i/>
          <w:iCs/>
          <w:color w:val="5B9BD5" w:themeColor="accent1"/>
        </w:rPr>
        <w:t xml:space="preserve"> Guidance for discussions with </w:t>
      </w:r>
      <w:r>
        <w:rPr>
          <w:rFonts w:cstheme="minorHAnsi"/>
          <w:b/>
          <w:bCs/>
          <w:i/>
          <w:iCs/>
          <w:color w:val="5B9BD5" w:themeColor="accent1"/>
        </w:rPr>
        <w:t>adults</w:t>
      </w:r>
    </w:p>
    <w:p w14:paraId="0392F8E4" w14:textId="77777777" w:rsidR="00E15957" w:rsidRDefault="00E15957" w:rsidP="00D31033">
      <w:pPr>
        <w:pStyle w:val="PlainText"/>
      </w:pPr>
    </w:p>
    <w:p w14:paraId="010CEA31" w14:textId="269C3C94" w:rsidR="00725993" w:rsidRPr="0088558A" w:rsidRDefault="00D31033" w:rsidP="00725993">
      <w:pPr>
        <w:spacing w:line="240" w:lineRule="auto"/>
        <w:jc w:val="both"/>
        <w:rPr>
          <w:rFonts w:cstheme="minorHAnsi"/>
        </w:rPr>
      </w:pPr>
      <w:r>
        <w:rPr>
          <w:rFonts w:cstheme="minorHAnsi"/>
        </w:rPr>
        <w:t xml:space="preserve">Whilst we wait updated advice on the updated risk assessment tool, </w:t>
      </w:r>
      <w:r w:rsidR="00725993">
        <w:rPr>
          <w:rFonts w:cstheme="minorHAnsi"/>
        </w:rPr>
        <w:t>i</w:t>
      </w:r>
      <w:r w:rsidR="00725993" w:rsidRPr="0088558A">
        <w:rPr>
          <w:rFonts w:cstheme="minorHAnsi"/>
        </w:rPr>
        <w:t xml:space="preserve">t is important to remember that </w:t>
      </w:r>
      <w:r w:rsidR="00725993" w:rsidRPr="0088558A">
        <w:rPr>
          <w:rFonts w:cstheme="minorHAnsi"/>
          <w:b/>
          <w:bCs/>
        </w:rPr>
        <w:t>advice on ‘clinically extremely vulnerable’ patients is advisory rather than mandatory</w:t>
      </w:r>
      <w:r w:rsidR="00725993" w:rsidRPr="0088558A">
        <w:rPr>
          <w:rFonts w:cstheme="minorHAnsi"/>
        </w:rPr>
        <w:t xml:space="preserve">. The reason for the advice is to keep patients safe and allow them to best protect themselves from the risk of COVID-19. </w:t>
      </w:r>
    </w:p>
    <w:p w14:paraId="50C64D6D" w14:textId="13557975" w:rsidR="0088558A" w:rsidRPr="0088558A" w:rsidRDefault="00725993" w:rsidP="00725993">
      <w:pPr>
        <w:spacing w:line="240" w:lineRule="auto"/>
        <w:jc w:val="both"/>
        <w:rPr>
          <w:rFonts w:cstheme="minorHAnsi"/>
        </w:rPr>
      </w:pPr>
      <w:r>
        <w:t>W</w:t>
      </w:r>
      <w:r w:rsidR="0088558A" w:rsidRPr="0088558A">
        <w:rPr>
          <w:rFonts w:cstheme="minorHAnsi"/>
        </w:rPr>
        <w:t xml:space="preserve">e recognise that shielding and social distancing are going to become more and more challenging over time for social, employment and psychological well-being. They will also impact on the need of patients to access long term health care. The challenge is how we balance the ongoing risk of COVID-19 with the risks of shielding/social distancing. People will need to make complex assessments about the ongoing risks and benefits of shielding and social distancing and make a decision that feels right for them. This advice will take into consideration the growing experience of dealing with COVID-19 in this patient population and aims to help clinicians and patients to assess risk. </w:t>
      </w:r>
    </w:p>
    <w:p w14:paraId="62951F85" w14:textId="2770199B" w:rsidR="0088558A" w:rsidRPr="0088558A" w:rsidRDefault="0088558A" w:rsidP="00D31033">
      <w:pPr>
        <w:spacing w:line="240" w:lineRule="auto"/>
        <w:jc w:val="both"/>
        <w:rPr>
          <w:rFonts w:cstheme="minorHAnsi"/>
        </w:rPr>
      </w:pPr>
      <w:r w:rsidRPr="0088558A">
        <w:rPr>
          <w:rFonts w:cstheme="minorHAnsi"/>
        </w:rPr>
        <w:t xml:space="preserve">Haemoglobinopathy clinicians will need to advise their patients in two ways. Firstly, we will need to help interpret </w:t>
      </w:r>
      <w:r w:rsidR="00D31033">
        <w:rPr>
          <w:rFonts w:cstheme="minorHAnsi"/>
        </w:rPr>
        <w:t>the new</w:t>
      </w:r>
      <w:r w:rsidRPr="0088558A">
        <w:rPr>
          <w:rFonts w:cstheme="minorHAnsi"/>
        </w:rPr>
        <w:t xml:space="preserve"> guidance</w:t>
      </w:r>
      <w:r w:rsidR="00D31033">
        <w:rPr>
          <w:rFonts w:cstheme="minorHAnsi"/>
        </w:rPr>
        <w:t xml:space="preserve"> (when available)</w:t>
      </w:r>
      <w:r w:rsidRPr="0088558A">
        <w:rPr>
          <w:rFonts w:cstheme="minorHAnsi"/>
        </w:rPr>
        <w:t xml:space="preserve"> with respect to each patient’s individual clinical scenario and advise them whether they fall into the higher risk category or not. Secondly, we will need to have conversations with them interpreting the impact of this clinical risk with respect to their social, educational, employment and mental health needs. Individuals should then be able to consider their own risk profile depending on age, ethnicity and their underlying condition, take into consideration their own personal circumstances and their own risk appetite and balance this against the current risk in the community (which may change). </w:t>
      </w:r>
    </w:p>
    <w:p w14:paraId="58942D88" w14:textId="11BC7D5C" w:rsidR="00725993" w:rsidRDefault="00725993" w:rsidP="00D31033">
      <w:pPr>
        <w:pStyle w:val="PlainText"/>
      </w:pPr>
      <w:r>
        <w:t xml:space="preserve">We have listed below factors which (on current evidence) confer increased risk of serious effects of COVID-19 and may be helpful in supporting discussions about clinical risk. It is likely that these will be updated as more evidence becomes available. </w:t>
      </w:r>
    </w:p>
    <w:p w14:paraId="58885621" w14:textId="77777777" w:rsidR="00416DD8" w:rsidRDefault="00416DD8" w:rsidP="00416DD8">
      <w:pPr>
        <w:spacing w:after="165" w:line="240" w:lineRule="auto"/>
        <w:jc w:val="both"/>
        <w:rPr>
          <w:rFonts w:cstheme="minorHAnsi"/>
        </w:rPr>
      </w:pPr>
    </w:p>
    <w:p w14:paraId="6A83926D" w14:textId="706A16D7" w:rsidR="00416DD8" w:rsidRDefault="00416DD8" w:rsidP="00416DD8">
      <w:pPr>
        <w:spacing w:after="165" w:line="240" w:lineRule="auto"/>
        <w:jc w:val="both"/>
        <w:rPr>
          <w:rFonts w:cstheme="minorHAnsi"/>
        </w:rPr>
      </w:pPr>
      <w:r>
        <w:rPr>
          <w:rFonts w:cstheme="minorHAnsi"/>
        </w:rPr>
        <w:t xml:space="preserve">Current evidence shows that the largest risk factor for serious outcomes from COVID-19 is age. </w:t>
      </w:r>
      <w:r w:rsidRPr="00416DD8">
        <w:rPr>
          <w:rFonts w:cstheme="minorHAnsi"/>
        </w:rPr>
        <w:t xml:space="preserve">Among people already diagnosed with COVID-19, people who were 80 or older were seventy times more likely to die than those under 40.  Risk of dying among those diagnosed with COVID-19 was also higher in males than females; higher in those living in the more deprived areas than those living in the least </w:t>
      </w:r>
      <w:r w:rsidRPr="00416DD8">
        <w:rPr>
          <w:rFonts w:cstheme="minorHAnsi"/>
        </w:rPr>
        <w:lastRenderedPageBreak/>
        <w:t xml:space="preserve">deprived; and higher in those in Black, Asian and Minority Ethnic (BAME) groups than in White ethnic groups. This latter fact is of particular importance as almost all patients with sickle cell and thalassaemia are within the BAME population and hence are at increased risk from COVID. </w:t>
      </w:r>
    </w:p>
    <w:p w14:paraId="3136DCD3" w14:textId="20C24972" w:rsidR="00416DD8" w:rsidRPr="00416DD8" w:rsidRDefault="00416DD8" w:rsidP="00416DD8">
      <w:pPr>
        <w:spacing w:after="165" w:line="240" w:lineRule="auto"/>
        <w:jc w:val="both"/>
        <w:rPr>
          <w:rFonts w:cstheme="minorHAnsi"/>
        </w:rPr>
      </w:pPr>
      <w:r w:rsidRPr="00416DD8">
        <w:rPr>
          <w:rFonts w:cstheme="minorHAnsi"/>
        </w:rPr>
        <w:t>Public Health England have produced a document ‘Disparities in the risks and outcomes of COVID-19.’ 2</w:t>
      </w:r>
      <w:r w:rsidRPr="00416DD8">
        <w:rPr>
          <w:rFonts w:cstheme="minorHAnsi"/>
          <w:vertAlign w:val="superscript"/>
        </w:rPr>
        <w:t>nd</w:t>
      </w:r>
      <w:r w:rsidRPr="00416DD8">
        <w:rPr>
          <w:rFonts w:cstheme="minorHAnsi"/>
        </w:rPr>
        <w:t xml:space="preserve"> June 2020. </w:t>
      </w:r>
      <w:hyperlink r:id="rId10" w:history="1">
        <w:r w:rsidRPr="00416DD8">
          <w:rPr>
            <w:rFonts w:cstheme="minorHAnsi"/>
            <w:color w:val="0563C1" w:themeColor="hyperlink"/>
          </w:rPr>
          <w:t>https://www.gov.uk/government/publications/covid-19-review-of-disparities-in-risks-and-outcomes</w:t>
        </w:r>
      </w:hyperlink>
    </w:p>
    <w:p w14:paraId="45CE1483" w14:textId="77777777" w:rsidR="00416DD8" w:rsidRPr="00416DD8" w:rsidRDefault="00416DD8" w:rsidP="00D31033">
      <w:pPr>
        <w:pStyle w:val="PlainText"/>
      </w:pPr>
    </w:p>
    <w:p w14:paraId="47A392D2" w14:textId="5B67575B" w:rsidR="00725993" w:rsidRPr="0088558A" w:rsidRDefault="00725993" w:rsidP="00725993">
      <w:pPr>
        <w:spacing w:after="165" w:line="240" w:lineRule="auto"/>
        <w:jc w:val="both"/>
        <w:rPr>
          <w:rFonts w:eastAsia="Times New Roman" w:cstheme="minorHAnsi"/>
          <w:color w:val="000000"/>
          <w:lang w:val="en" w:eastAsia="en-GB"/>
        </w:rPr>
      </w:pPr>
      <w:r w:rsidRPr="0088558A">
        <w:rPr>
          <w:rFonts w:eastAsia="Times New Roman" w:cstheme="minorHAnsi"/>
          <w:color w:val="000000"/>
          <w:lang w:val="en" w:eastAsia="en-GB"/>
        </w:rPr>
        <w:t xml:space="preserve">Conditions listed in the </w:t>
      </w:r>
      <w:r w:rsidRPr="0088558A">
        <w:rPr>
          <w:rFonts w:eastAsia="Times New Roman" w:cstheme="minorHAnsi"/>
          <w:color w:val="FF0000"/>
          <w:lang w:val="en" w:eastAsia="en-GB"/>
        </w:rPr>
        <w:t>red</w:t>
      </w:r>
      <w:r w:rsidRPr="0088558A">
        <w:rPr>
          <w:rFonts w:eastAsia="Times New Roman" w:cstheme="minorHAnsi"/>
          <w:color w:val="000000"/>
          <w:lang w:val="en" w:eastAsia="en-GB"/>
        </w:rPr>
        <w:t xml:space="preserve"> categories confer the highest risk </w:t>
      </w:r>
      <w:r w:rsidR="00416DD8">
        <w:rPr>
          <w:rFonts w:eastAsia="Times New Roman" w:cstheme="minorHAnsi"/>
          <w:color w:val="000000"/>
          <w:lang w:val="en" w:eastAsia="en-GB"/>
        </w:rPr>
        <w:t>of serious effects of COVID-19.</w:t>
      </w:r>
    </w:p>
    <w:p w14:paraId="69446903" w14:textId="435D9631" w:rsidR="00725993" w:rsidRPr="0088558A" w:rsidRDefault="00725993" w:rsidP="00725993">
      <w:pPr>
        <w:spacing w:after="165" w:line="240" w:lineRule="auto"/>
        <w:jc w:val="both"/>
        <w:rPr>
          <w:rFonts w:eastAsia="Times New Roman" w:cstheme="minorHAnsi"/>
          <w:color w:val="000000"/>
          <w:lang w:val="en" w:eastAsia="en-GB"/>
        </w:rPr>
      </w:pPr>
      <w:r w:rsidRPr="0088558A">
        <w:rPr>
          <w:rFonts w:eastAsia="Times New Roman" w:cstheme="minorHAnsi"/>
          <w:color w:val="000000"/>
          <w:lang w:val="en" w:eastAsia="en-GB"/>
        </w:rPr>
        <w:t xml:space="preserve">Conditions listed in the </w:t>
      </w:r>
      <w:r w:rsidRPr="0088558A">
        <w:rPr>
          <w:rFonts w:eastAsia="Times New Roman" w:cstheme="minorHAnsi"/>
          <w:color w:val="FFC000"/>
          <w:lang w:val="en" w:eastAsia="en-GB"/>
        </w:rPr>
        <w:t>amber</w:t>
      </w:r>
      <w:r w:rsidRPr="0088558A">
        <w:rPr>
          <w:rFonts w:eastAsia="Times New Roman" w:cstheme="minorHAnsi"/>
          <w:color w:val="000000"/>
          <w:lang w:val="en" w:eastAsia="en-GB"/>
        </w:rPr>
        <w:t xml:space="preserve"> categories below </w:t>
      </w:r>
      <w:r w:rsidR="00416DD8">
        <w:rPr>
          <w:rFonts w:eastAsia="Times New Roman" w:cstheme="minorHAnsi"/>
          <w:color w:val="000000"/>
          <w:lang w:val="en" w:eastAsia="en-GB"/>
        </w:rPr>
        <w:t xml:space="preserve">are likely to cause an increased but </w:t>
      </w:r>
      <w:r w:rsidRPr="0088558A">
        <w:rPr>
          <w:rFonts w:eastAsia="Times New Roman" w:cstheme="minorHAnsi"/>
          <w:color w:val="000000"/>
          <w:lang w:val="en" w:eastAsia="en-GB"/>
        </w:rPr>
        <w:t>less well defined risk and will re</w:t>
      </w:r>
      <w:r w:rsidR="00416DD8">
        <w:rPr>
          <w:rFonts w:eastAsia="Times New Roman" w:cstheme="minorHAnsi"/>
          <w:color w:val="000000"/>
          <w:lang w:val="en" w:eastAsia="en-GB"/>
        </w:rPr>
        <w:t>quire a case-by-case discussion.</w:t>
      </w:r>
    </w:p>
    <w:p w14:paraId="4EB13EE5" w14:textId="368FC724" w:rsidR="00D15FB4" w:rsidRDefault="00C065FC" w:rsidP="00D15FB4">
      <w:pPr>
        <w:pStyle w:val="PlainText"/>
      </w:pPr>
      <w:r>
        <w:t xml:space="preserve">Conditions listed in the </w:t>
      </w:r>
      <w:r w:rsidRPr="00C065FC">
        <w:rPr>
          <w:color w:val="70AD47" w:themeColor="accent6"/>
        </w:rPr>
        <w:t>green</w:t>
      </w:r>
      <w:r>
        <w:t xml:space="preserve"> categories are unlikely to cause an increased risk of serious effects of COVID-19</w:t>
      </w:r>
    </w:p>
    <w:p w14:paraId="769F46C1" w14:textId="77777777" w:rsidR="00725993" w:rsidRDefault="00725993" w:rsidP="00D15FB4">
      <w:pPr>
        <w:pStyle w:val="PlainText"/>
      </w:pPr>
    </w:p>
    <w:tbl>
      <w:tblPr>
        <w:tblStyle w:val="TableGrid1"/>
        <w:tblW w:w="0" w:type="auto"/>
        <w:tblLook w:val="04A0" w:firstRow="1" w:lastRow="0" w:firstColumn="1" w:lastColumn="0" w:noHBand="0" w:noVBand="1"/>
      </w:tblPr>
      <w:tblGrid>
        <w:gridCol w:w="2038"/>
        <w:gridCol w:w="2945"/>
        <w:gridCol w:w="2105"/>
        <w:gridCol w:w="1928"/>
      </w:tblGrid>
      <w:tr w:rsidR="00725993" w:rsidRPr="00725993" w14:paraId="50271778" w14:textId="77777777" w:rsidTr="00A37E9E">
        <w:tc>
          <w:tcPr>
            <w:tcW w:w="2038" w:type="dxa"/>
          </w:tcPr>
          <w:p w14:paraId="22EA2BB3" w14:textId="77777777" w:rsidR="00725993" w:rsidRPr="00725993" w:rsidRDefault="00725993" w:rsidP="00725993">
            <w:pPr>
              <w:spacing w:after="165"/>
              <w:rPr>
                <w:rFonts w:eastAsia="Times New Roman" w:cstheme="minorHAnsi"/>
                <w:color w:val="000000"/>
                <w:lang w:val="en" w:eastAsia="en-GB"/>
              </w:rPr>
            </w:pPr>
          </w:p>
        </w:tc>
        <w:tc>
          <w:tcPr>
            <w:tcW w:w="2945" w:type="dxa"/>
            <w:shd w:val="clear" w:color="auto" w:fill="FF0000"/>
          </w:tcPr>
          <w:p w14:paraId="0C9B346B" w14:textId="5F62ECE0" w:rsidR="00725993" w:rsidRPr="00725993" w:rsidRDefault="00416DD8" w:rsidP="00725993">
            <w:pPr>
              <w:spacing w:after="165"/>
              <w:rPr>
                <w:rFonts w:eastAsia="Times New Roman" w:cstheme="minorHAnsi"/>
                <w:b/>
                <w:bCs/>
                <w:color w:val="000000"/>
                <w:lang w:val="en" w:eastAsia="en-GB"/>
              </w:rPr>
            </w:pPr>
            <w:r>
              <w:rPr>
                <w:rFonts w:eastAsia="Times New Roman" w:cstheme="minorHAnsi"/>
                <w:b/>
                <w:bCs/>
                <w:color w:val="000000"/>
                <w:lang w:val="en" w:eastAsia="en-GB"/>
              </w:rPr>
              <w:t>Highest risk of serious effects of COVID-19</w:t>
            </w:r>
          </w:p>
        </w:tc>
        <w:tc>
          <w:tcPr>
            <w:tcW w:w="2105" w:type="dxa"/>
            <w:shd w:val="clear" w:color="auto" w:fill="FFD966" w:themeFill="accent4" w:themeFillTint="99"/>
          </w:tcPr>
          <w:p w14:paraId="39369DCD" w14:textId="5FCC79E0" w:rsidR="00725993" w:rsidRPr="00725993" w:rsidRDefault="00416DD8" w:rsidP="00725993">
            <w:pPr>
              <w:spacing w:after="165"/>
              <w:rPr>
                <w:rFonts w:eastAsia="Times New Roman" w:cstheme="minorHAnsi"/>
                <w:b/>
                <w:bCs/>
                <w:color w:val="000000"/>
                <w:lang w:val="en" w:eastAsia="en-GB"/>
              </w:rPr>
            </w:pPr>
            <w:r>
              <w:rPr>
                <w:rFonts w:eastAsia="Times New Roman" w:cstheme="minorHAnsi"/>
                <w:b/>
                <w:bCs/>
                <w:color w:val="000000"/>
                <w:lang w:val="en" w:eastAsia="en-GB"/>
              </w:rPr>
              <w:t>Likely increased risk of serious effects of COVID-19</w:t>
            </w:r>
          </w:p>
        </w:tc>
        <w:tc>
          <w:tcPr>
            <w:tcW w:w="1928" w:type="dxa"/>
            <w:shd w:val="clear" w:color="auto" w:fill="A8D08D" w:themeFill="accent6" w:themeFillTint="99"/>
          </w:tcPr>
          <w:p w14:paraId="7F508C66" w14:textId="54ADD8E4" w:rsidR="00725993" w:rsidRPr="00725993" w:rsidRDefault="00416DD8" w:rsidP="00725993">
            <w:pPr>
              <w:spacing w:after="165"/>
              <w:rPr>
                <w:rFonts w:eastAsia="Times New Roman" w:cstheme="minorHAnsi"/>
                <w:b/>
                <w:bCs/>
                <w:color w:val="000000"/>
                <w:lang w:val="en" w:eastAsia="en-GB"/>
              </w:rPr>
            </w:pPr>
            <w:r>
              <w:rPr>
                <w:rFonts w:eastAsia="Times New Roman" w:cstheme="minorHAnsi"/>
                <w:b/>
                <w:bCs/>
                <w:color w:val="000000"/>
                <w:lang w:val="en" w:eastAsia="en-GB"/>
              </w:rPr>
              <w:t>Not likely to cause increased risk of serious effects of COVID-19</w:t>
            </w:r>
          </w:p>
        </w:tc>
      </w:tr>
      <w:tr w:rsidR="00725993" w:rsidRPr="00725993" w14:paraId="25FF989F" w14:textId="77777777" w:rsidTr="00A37E9E">
        <w:tc>
          <w:tcPr>
            <w:tcW w:w="2038" w:type="dxa"/>
          </w:tcPr>
          <w:p w14:paraId="06BC3E86" w14:textId="77777777" w:rsidR="00725993" w:rsidRPr="00725993" w:rsidRDefault="00725993" w:rsidP="00725993">
            <w:pPr>
              <w:spacing w:after="165"/>
              <w:rPr>
                <w:rFonts w:eastAsia="Times New Roman" w:cstheme="minorHAnsi"/>
                <w:b/>
                <w:bCs/>
                <w:color w:val="000000"/>
                <w:lang w:val="en" w:eastAsia="en-GB"/>
              </w:rPr>
            </w:pPr>
            <w:r w:rsidRPr="00725993">
              <w:rPr>
                <w:rFonts w:eastAsia="Times New Roman" w:cstheme="minorHAnsi"/>
                <w:b/>
                <w:bCs/>
                <w:color w:val="000000"/>
                <w:lang w:val="en" w:eastAsia="en-GB"/>
              </w:rPr>
              <w:t>General risk factors</w:t>
            </w:r>
          </w:p>
        </w:tc>
        <w:tc>
          <w:tcPr>
            <w:tcW w:w="2945" w:type="dxa"/>
            <w:shd w:val="clear" w:color="auto" w:fill="FF0000"/>
          </w:tcPr>
          <w:p w14:paraId="7EB74BAE" w14:textId="77777777" w:rsidR="00725993" w:rsidRPr="00725993" w:rsidRDefault="00725993" w:rsidP="00725993">
            <w:pPr>
              <w:spacing w:after="165"/>
              <w:rPr>
                <w:rFonts w:eastAsia="Times New Roman" w:cstheme="minorHAnsi"/>
                <w:color w:val="000000"/>
                <w:lang w:val="en" w:eastAsia="en-GB"/>
              </w:rPr>
            </w:pPr>
            <w:r w:rsidRPr="00725993">
              <w:rPr>
                <w:rFonts w:eastAsia="Times New Roman" w:cstheme="minorHAnsi"/>
                <w:color w:val="000000"/>
                <w:lang w:val="en" w:eastAsia="en-GB"/>
              </w:rPr>
              <w:t xml:space="preserve">Organ transplant recipient; on chemo or radiotherapy; being treated for a </w:t>
            </w:r>
            <w:proofErr w:type="spellStart"/>
            <w:r w:rsidRPr="00725993">
              <w:rPr>
                <w:rFonts w:eastAsia="Times New Roman" w:cstheme="minorHAnsi"/>
                <w:color w:val="000000"/>
                <w:lang w:val="en" w:eastAsia="en-GB"/>
              </w:rPr>
              <w:t>haematological</w:t>
            </w:r>
            <w:proofErr w:type="spellEnd"/>
            <w:r w:rsidRPr="00725993">
              <w:rPr>
                <w:rFonts w:eastAsia="Times New Roman" w:cstheme="minorHAnsi"/>
                <w:color w:val="000000"/>
                <w:lang w:val="en" w:eastAsia="en-GB"/>
              </w:rPr>
              <w:t xml:space="preserve"> cancer; HSCT in past 12 months/on immunosuppression; </w:t>
            </w:r>
          </w:p>
          <w:p w14:paraId="58DF4A78" w14:textId="77777777" w:rsidR="00725993" w:rsidRPr="00725993" w:rsidRDefault="00725993" w:rsidP="00725993">
            <w:pPr>
              <w:spacing w:after="165"/>
              <w:rPr>
                <w:rFonts w:eastAsia="Times New Roman" w:cstheme="minorHAnsi"/>
                <w:color w:val="000000"/>
                <w:lang w:val="en" w:eastAsia="en-GB"/>
              </w:rPr>
            </w:pPr>
            <w:r w:rsidRPr="00725993">
              <w:rPr>
                <w:rFonts w:eastAsia="Times New Roman" w:cstheme="minorHAnsi"/>
                <w:color w:val="000000"/>
                <w:lang w:val="en" w:eastAsia="en-GB"/>
              </w:rPr>
              <w:t xml:space="preserve">Severe lung condition (cystic fibrosis, severe asthma or severe COPD); on </w:t>
            </w:r>
          </w:p>
          <w:p w14:paraId="0938CBF7" w14:textId="77777777" w:rsidR="00725993" w:rsidRPr="00725993" w:rsidRDefault="00725993" w:rsidP="00725993">
            <w:pPr>
              <w:spacing w:after="165"/>
              <w:rPr>
                <w:rFonts w:eastAsia="Times New Roman" w:cstheme="minorHAnsi"/>
                <w:color w:val="000000"/>
                <w:lang w:val="en" w:eastAsia="en-GB"/>
              </w:rPr>
            </w:pPr>
            <w:r w:rsidRPr="00725993">
              <w:rPr>
                <w:rFonts w:eastAsia="Times New Roman" w:cstheme="minorHAnsi"/>
                <w:color w:val="000000"/>
                <w:lang w:val="en" w:eastAsia="en-GB"/>
              </w:rPr>
              <w:t>On immunosuppressants (such as high doses of steroids); have a serious heart condition and pregnant;</w:t>
            </w:r>
          </w:p>
          <w:p w14:paraId="62F58B8F" w14:textId="77777777" w:rsidR="00725993" w:rsidRPr="00725993" w:rsidRDefault="00725993" w:rsidP="00725993">
            <w:pPr>
              <w:spacing w:after="165"/>
              <w:rPr>
                <w:rFonts w:eastAsia="Times New Roman" w:cstheme="minorHAnsi"/>
                <w:color w:val="000000"/>
                <w:lang w:val="en" w:eastAsia="en-GB"/>
              </w:rPr>
            </w:pPr>
            <w:r w:rsidRPr="00725993">
              <w:rPr>
                <w:rFonts w:eastAsia="Times New Roman" w:cstheme="minorHAnsi"/>
                <w:color w:val="000000"/>
                <w:lang w:val="en" w:eastAsia="en-GB"/>
              </w:rPr>
              <w:t xml:space="preserve"> ESRF on renal replacement therapy</w:t>
            </w:r>
          </w:p>
        </w:tc>
        <w:tc>
          <w:tcPr>
            <w:tcW w:w="2105" w:type="dxa"/>
            <w:shd w:val="clear" w:color="auto" w:fill="FFD966" w:themeFill="accent4" w:themeFillTint="99"/>
          </w:tcPr>
          <w:p w14:paraId="00F7DC12" w14:textId="77777777" w:rsidR="00725993" w:rsidRPr="00725993" w:rsidRDefault="00725993" w:rsidP="00725993">
            <w:pPr>
              <w:spacing w:after="165"/>
              <w:rPr>
                <w:rFonts w:eastAsia="Times New Roman" w:cstheme="minorHAnsi"/>
                <w:color w:val="000000"/>
                <w:lang w:val="en" w:eastAsia="en-GB"/>
              </w:rPr>
            </w:pPr>
            <w:r w:rsidRPr="00725993">
              <w:rPr>
                <w:rFonts w:eastAsia="Times New Roman" w:cstheme="minorHAnsi"/>
                <w:color w:val="000000"/>
                <w:lang w:val="en" w:eastAsia="en-GB"/>
              </w:rPr>
              <w:t xml:space="preserve">Diabetes; IHD; Obesity (BMI 40+); Increasing age**; Liver disease (hepatitis, cirrhosis); HTN </w:t>
            </w:r>
          </w:p>
          <w:p w14:paraId="3FC26054" w14:textId="77777777" w:rsidR="00725993" w:rsidRPr="00725993" w:rsidRDefault="00725993" w:rsidP="00725993">
            <w:pPr>
              <w:spacing w:after="165"/>
              <w:rPr>
                <w:rFonts w:eastAsia="Times New Roman" w:cstheme="minorHAnsi"/>
                <w:color w:val="000000"/>
                <w:lang w:val="en" w:eastAsia="en-GB"/>
              </w:rPr>
            </w:pPr>
            <w:r w:rsidRPr="00725993">
              <w:rPr>
                <w:rFonts w:eastAsia="Times New Roman" w:cstheme="minorHAnsi"/>
                <w:color w:val="000000"/>
                <w:lang w:val="en" w:eastAsia="en-GB"/>
              </w:rPr>
              <w:t xml:space="preserve">Pre-existing cardiac disease </w:t>
            </w:r>
          </w:p>
          <w:p w14:paraId="1EF63C6D" w14:textId="77777777" w:rsidR="00725993" w:rsidRPr="00725993" w:rsidRDefault="00725993" w:rsidP="00725993">
            <w:pPr>
              <w:spacing w:after="165"/>
              <w:rPr>
                <w:rFonts w:eastAsia="Times New Roman" w:cstheme="minorHAnsi"/>
                <w:color w:val="000000"/>
                <w:lang w:val="en" w:eastAsia="en-GB"/>
              </w:rPr>
            </w:pPr>
            <w:r w:rsidRPr="00725993">
              <w:rPr>
                <w:rFonts w:eastAsia="Times New Roman" w:cstheme="minorHAnsi"/>
                <w:color w:val="000000"/>
                <w:lang w:val="en" w:eastAsia="en-GB"/>
              </w:rPr>
              <w:t>Auto-immune disease, on immunosuppression</w:t>
            </w:r>
          </w:p>
        </w:tc>
        <w:tc>
          <w:tcPr>
            <w:tcW w:w="1928" w:type="dxa"/>
            <w:shd w:val="clear" w:color="auto" w:fill="A8D08D" w:themeFill="accent6" w:themeFillTint="99"/>
          </w:tcPr>
          <w:p w14:paraId="6778F298" w14:textId="15096B89" w:rsidR="00725993" w:rsidRPr="00725993" w:rsidRDefault="00416DD8" w:rsidP="00725993">
            <w:pPr>
              <w:spacing w:after="165"/>
              <w:rPr>
                <w:rFonts w:eastAsia="Times New Roman" w:cstheme="minorHAnsi"/>
                <w:color w:val="000000"/>
                <w:lang w:val="en" w:eastAsia="en-GB"/>
              </w:rPr>
            </w:pPr>
            <w:r>
              <w:rPr>
                <w:rFonts w:eastAsia="Times New Roman" w:cstheme="minorHAnsi"/>
                <w:color w:val="000000"/>
                <w:lang w:val="en" w:eastAsia="en-GB"/>
              </w:rPr>
              <w:t>Splenectomy</w:t>
            </w:r>
          </w:p>
        </w:tc>
      </w:tr>
      <w:tr w:rsidR="00725993" w:rsidRPr="00725993" w14:paraId="554BA90B" w14:textId="77777777" w:rsidTr="00A37E9E">
        <w:tc>
          <w:tcPr>
            <w:tcW w:w="2038" w:type="dxa"/>
          </w:tcPr>
          <w:p w14:paraId="598ED8B6" w14:textId="49D2D742" w:rsidR="00725993" w:rsidRPr="00725993" w:rsidRDefault="00C065FC" w:rsidP="00725993">
            <w:pPr>
              <w:spacing w:after="165"/>
              <w:rPr>
                <w:rFonts w:eastAsia="Times New Roman" w:cstheme="minorHAnsi"/>
                <w:b/>
                <w:bCs/>
                <w:color w:val="000000"/>
                <w:lang w:val="en" w:eastAsia="en-GB"/>
              </w:rPr>
            </w:pPr>
            <w:r>
              <w:rPr>
                <w:rFonts w:eastAsia="Times New Roman" w:cstheme="minorHAnsi"/>
                <w:b/>
                <w:bCs/>
                <w:color w:val="000000"/>
                <w:lang w:val="en" w:eastAsia="en-GB"/>
              </w:rPr>
              <w:t>Sickle cell disease</w:t>
            </w:r>
          </w:p>
        </w:tc>
        <w:tc>
          <w:tcPr>
            <w:tcW w:w="2945" w:type="dxa"/>
            <w:shd w:val="clear" w:color="auto" w:fill="FF0000"/>
          </w:tcPr>
          <w:p w14:paraId="581CACDC" w14:textId="203BAC0E" w:rsidR="00725993" w:rsidRPr="00725993" w:rsidRDefault="00725993" w:rsidP="008564CE">
            <w:pPr>
              <w:spacing w:after="165"/>
              <w:rPr>
                <w:rFonts w:cstheme="minorHAnsi"/>
              </w:rPr>
            </w:pPr>
            <w:r w:rsidRPr="00725993">
              <w:rPr>
                <w:rFonts w:cstheme="minorHAnsi"/>
              </w:rPr>
              <w:t xml:space="preserve">Severe cardiac iron overload (T2 *&lt; 10 </w:t>
            </w:r>
            <w:proofErr w:type="spellStart"/>
            <w:r w:rsidRPr="00725993">
              <w:rPr>
                <w:rFonts w:cstheme="minorHAnsi"/>
              </w:rPr>
              <w:t>ms</w:t>
            </w:r>
            <w:proofErr w:type="spellEnd"/>
            <w:r w:rsidRPr="00725993">
              <w:rPr>
                <w:rFonts w:cstheme="minorHAnsi"/>
              </w:rPr>
              <w:t xml:space="preserve">) AND additional co-morbidity (e.g. diabetes, chronic liver disease) </w:t>
            </w:r>
          </w:p>
        </w:tc>
        <w:tc>
          <w:tcPr>
            <w:tcW w:w="2105" w:type="dxa"/>
            <w:shd w:val="clear" w:color="auto" w:fill="FFD966" w:themeFill="accent4" w:themeFillTint="99"/>
          </w:tcPr>
          <w:p w14:paraId="5F205F98" w14:textId="77777777" w:rsidR="00725993" w:rsidRPr="00725993" w:rsidRDefault="00725993" w:rsidP="00725993">
            <w:pPr>
              <w:spacing w:after="165"/>
              <w:rPr>
                <w:rFonts w:eastAsia="Times New Roman" w:cstheme="minorHAnsi"/>
                <w:color w:val="000000"/>
                <w:lang w:val="en" w:eastAsia="en-GB"/>
              </w:rPr>
            </w:pPr>
            <w:r w:rsidRPr="00725993">
              <w:rPr>
                <w:rFonts w:eastAsia="Times New Roman" w:cstheme="minorHAnsi"/>
                <w:color w:val="000000"/>
                <w:lang w:val="en" w:eastAsia="en-GB"/>
              </w:rPr>
              <w:t>Patients 50 years and above</w:t>
            </w:r>
          </w:p>
          <w:p w14:paraId="780024BB" w14:textId="77777777" w:rsidR="00725993" w:rsidRPr="00725993" w:rsidRDefault="00725993" w:rsidP="00725993">
            <w:pPr>
              <w:spacing w:after="165"/>
              <w:rPr>
                <w:rFonts w:eastAsia="Times New Roman" w:cstheme="minorHAnsi"/>
                <w:color w:val="000000"/>
                <w:lang w:val="en" w:eastAsia="en-GB"/>
              </w:rPr>
            </w:pPr>
            <w:r w:rsidRPr="00725993">
              <w:rPr>
                <w:rFonts w:eastAsia="Times New Roman" w:cstheme="minorHAnsi"/>
                <w:color w:val="000000"/>
                <w:lang w:val="en" w:eastAsia="en-GB"/>
              </w:rPr>
              <w:t xml:space="preserve">CKD3 and over; </w:t>
            </w:r>
          </w:p>
          <w:p w14:paraId="388E03F5" w14:textId="77777777" w:rsidR="00725993" w:rsidRPr="00725993" w:rsidRDefault="00725993" w:rsidP="00725993">
            <w:pPr>
              <w:spacing w:after="165"/>
              <w:rPr>
                <w:rFonts w:eastAsia="Times New Roman" w:cstheme="minorHAnsi"/>
                <w:color w:val="000000"/>
                <w:lang w:val="en" w:eastAsia="en-GB"/>
              </w:rPr>
            </w:pPr>
            <w:r w:rsidRPr="00725993">
              <w:rPr>
                <w:rFonts w:eastAsia="Times New Roman" w:cstheme="minorHAnsi"/>
                <w:color w:val="000000"/>
                <w:lang w:val="en" w:eastAsia="en-GB"/>
              </w:rPr>
              <w:t xml:space="preserve">Pulmonary hypertension by echo criteria &gt; TRV max &gt;2.5ms; (NB &gt;2.9 </w:t>
            </w:r>
            <w:proofErr w:type="spellStart"/>
            <w:r w:rsidRPr="00725993">
              <w:rPr>
                <w:rFonts w:eastAsia="Times New Roman" w:cstheme="minorHAnsi"/>
                <w:color w:val="000000"/>
                <w:lang w:val="en" w:eastAsia="en-GB"/>
              </w:rPr>
              <w:t>ms</w:t>
            </w:r>
            <w:proofErr w:type="spellEnd"/>
            <w:r w:rsidRPr="00725993">
              <w:rPr>
                <w:rFonts w:eastAsia="Times New Roman" w:cstheme="minorHAnsi"/>
                <w:color w:val="000000"/>
                <w:lang w:val="en" w:eastAsia="en-GB"/>
              </w:rPr>
              <w:t xml:space="preserve"> places patients at most risk)</w:t>
            </w:r>
          </w:p>
          <w:p w14:paraId="3B3AA8BE" w14:textId="77777777" w:rsidR="00725993" w:rsidRPr="00725993" w:rsidRDefault="00725993" w:rsidP="00725993">
            <w:pPr>
              <w:spacing w:after="165"/>
              <w:rPr>
                <w:rFonts w:eastAsia="Times New Roman" w:cstheme="minorHAnsi"/>
                <w:color w:val="000000"/>
                <w:lang w:val="en" w:eastAsia="en-GB"/>
              </w:rPr>
            </w:pPr>
            <w:r w:rsidRPr="00725993">
              <w:rPr>
                <w:rFonts w:eastAsia="Times New Roman" w:cstheme="minorHAnsi"/>
                <w:color w:val="000000"/>
                <w:lang w:val="en" w:eastAsia="en-GB"/>
              </w:rPr>
              <w:lastRenderedPageBreak/>
              <w:t>Chronic sickle lung – on ambulatory oxygen;</w:t>
            </w:r>
          </w:p>
          <w:p w14:paraId="54685996" w14:textId="77777777" w:rsidR="00725993" w:rsidRPr="00725993" w:rsidRDefault="00725993" w:rsidP="00725993">
            <w:pPr>
              <w:spacing w:after="165"/>
              <w:rPr>
                <w:rFonts w:eastAsia="Times New Roman" w:cstheme="minorHAnsi"/>
                <w:color w:val="000000"/>
                <w:lang w:val="en" w:eastAsia="en-GB"/>
              </w:rPr>
            </w:pPr>
            <w:r w:rsidRPr="00725993">
              <w:rPr>
                <w:rFonts w:eastAsia="Times New Roman" w:cstheme="minorHAnsi"/>
                <w:color w:val="000000"/>
                <w:lang w:val="en" w:eastAsia="en-GB"/>
              </w:rPr>
              <w:t xml:space="preserve"> Liver – sickle hepatopathy </w:t>
            </w:r>
          </w:p>
          <w:p w14:paraId="4241C428" w14:textId="77777777" w:rsidR="00725993" w:rsidRPr="00725993" w:rsidRDefault="00725993" w:rsidP="00725993">
            <w:pPr>
              <w:spacing w:after="165"/>
              <w:rPr>
                <w:rFonts w:eastAsia="Times New Roman" w:cstheme="minorHAnsi"/>
                <w:color w:val="000000"/>
                <w:lang w:val="en" w:eastAsia="en-GB"/>
              </w:rPr>
            </w:pPr>
            <w:r w:rsidRPr="00725993">
              <w:rPr>
                <w:rFonts w:cstheme="minorHAnsi"/>
                <w:bCs/>
              </w:rPr>
              <w:t xml:space="preserve">Acute sickle presentation requiring ICU support in past 12 months  </w:t>
            </w:r>
          </w:p>
          <w:p w14:paraId="700F0540" w14:textId="77777777" w:rsidR="00725993" w:rsidRPr="00725993" w:rsidRDefault="00725993" w:rsidP="00725993">
            <w:pPr>
              <w:spacing w:after="165"/>
              <w:rPr>
                <w:rFonts w:eastAsia="Times New Roman" w:cstheme="minorHAnsi"/>
                <w:color w:val="000000"/>
                <w:lang w:val="en" w:eastAsia="en-GB"/>
              </w:rPr>
            </w:pPr>
            <w:r w:rsidRPr="00725993">
              <w:rPr>
                <w:rFonts w:eastAsia="Times New Roman" w:cstheme="minorHAnsi"/>
                <w:color w:val="000000"/>
                <w:lang w:val="en" w:eastAsia="en-GB"/>
              </w:rPr>
              <w:t>Two or more chest crises requiring treatment in the past 12 months</w:t>
            </w:r>
          </w:p>
          <w:p w14:paraId="0B495679" w14:textId="77777777" w:rsidR="00725993" w:rsidRPr="00725993" w:rsidRDefault="00725993" w:rsidP="00725993">
            <w:pPr>
              <w:spacing w:after="165"/>
              <w:rPr>
                <w:rFonts w:eastAsia="Times New Roman" w:cstheme="minorHAnsi"/>
                <w:color w:val="000000"/>
                <w:lang w:val="en" w:eastAsia="en-GB"/>
              </w:rPr>
            </w:pPr>
            <w:r w:rsidRPr="00725993">
              <w:rPr>
                <w:rFonts w:eastAsia="Times New Roman" w:cstheme="minorHAnsi"/>
                <w:color w:val="000000"/>
                <w:lang w:val="en" w:eastAsia="en-GB"/>
              </w:rPr>
              <w:t xml:space="preserve">Iron overload as per </w:t>
            </w:r>
            <w:proofErr w:type="spellStart"/>
            <w:r w:rsidRPr="00725993">
              <w:rPr>
                <w:rFonts w:eastAsia="Times New Roman" w:cstheme="minorHAnsi"/>
                <w:color w:val="000000"/>
                <w:lang w:val="en" w:eastAsia="en-GB"/>
              </w:rPr>
              <w:t>thal</w:t>
            </w:r>
            <w:proofErr w:type="spellEnd"/>
            <w:r w:rsidRPr="00725993">
              <w:rPr>
                <w:rFonts w:eastAsia="Times New Roman" w:cstheme="minorHAnsi"/>
                <w:color w:val="000000"/>
                <w:lang w:val="en" w:eastAsia="en-GB"/>
              </w:rPr>
              <w:t xml:space="preserve"> guidelines</w:t>
            </w:r>
          </w:p>
          <w:p w14:paraId="17871AEE" w14:textId="77777777" w:rsidR="00725993" w:rsidRPr="00725993" w:rsidRDefault="00725993" w:rsidP="00725993">
            <w:pPr>
              <w:spacing w:after="165"/>
              <w:rPr>
                <w:rFonts w:eastAsia="Times New Roman" w:cstheme="minorHAnsi"/>
                <w:color w:val="000000"/>
                <w:lang w:val="en" w:eastAsia="en-GB"/>
              </w:rPr>
            </w:pPr>
            <w:r w:rsidRPr="00725993">
              <w:rPr>
                <w:rFonts w:eastAsia="Times New Roman" w:cstheme="minorHAnsi"/>
                <w:color w:val="000000"/>
                <w:lang w:val="en" w:eastAsia="en-GB"/>
              </w:rPr>
              <w:t xml:space="preserve">Severe neurological disease </w:t>
            </w:r>
            <w:proofErr w:type="spellStart"/>
            <w:r w:rsidRPr="00725993">
              <w:rPr>
                <w:rFonts w:eastAsia="Times New Roman" w:cstheme="minorHAnsi"/>
                <w:color w:val="000000"/>
                <w:lang w:val="en" w:eastAsia="en-GB"/>
              </w:rPr>
              <w:t>eg</w:t>
            </w:r>
            <w:proofErr w:type="spellEnd"/>
            <w:r w:rsidRPr="00725993">
              <w:rPr>
                <w:rFonts w:eastAsia="Times New Roman" w:cstheme="minorHAnsi"/>
                <w:color w:val="000000"/>
                <w:lang w:val="en" w:eastAsia="en-GB"/>
              </w:rPr>
              <w:t xml:space="preserve"> progressive critical </w:t>
            </w:r>
            <w:proofErr w:type="spellStart"/>
            <w:r w:rsidRPr="00725993">
              <w:rPr>
                <w:rFonts w:eastAsia="Times New Roman" w:cstheme="minorHAnsi"/>
                <w:color w:val="000000"/>
                <w:lang w:val="en" w:eastAsia="en-GB"/>
              </w:rPr>
              <w:t>neurovasculopathy</w:t>
            </w:r>
            <w:proofErr w:type="spellEnd"/>
            <w:r w:rsidRPr="00725993">
              <w:rPr>
                <w:rFonts w:eastAsia="Times New Roman" w:cstheme="minorHAnsi"/>
                <w:color w:val="000000"/>
                <w:lang w:val="en" w:eastAsia="en-GB"/>
              </w:rPr>
              <w:t>,</w:t>
            </w:r>
          </w:p>
          <w:p w14:paraId="3520CE11" w14:textId="77777777" w:rsidR="00725993" w:rsidRPr="00725993" w:rsidRDefault="00725993" w:rsidP="00725993">
            <w:pPr>
              <w:spacing w:after="165"/>
              <w:rPr>
                <w:rFonts w:eastAsia="Times New Roman" w:cstheme="minorHAnsi"/>
                <w:color w:val="000000"/>
                <w:lang w:val="en" w:eastAsia="en-GB"/>
              </w:rPr>
            </w:pPr>
          </w:p>
        </w:tc>
        <w:tc>
          <w:tcPr>
            <w:tcW w:w="1928" w:type="dxa"/>
            <w:shd w:val="clear" w:color="auto" w:fill="A8D08D" w:themeFill="accent6" w:themeFillTint="99"/>
          </w:tcPr>
          <w:p w14:paraId="468E1F18" w14:textId="256F18AC" w:rsidR="00725993" w:rsidRPr="00725993" w:rsidRDefault="00725993" w:rsidP="00725993">
            <w:pPr>
              <w:spacing w:after="165"/>
              <w:rPr>
                <w:rFonts w:eastAsia="Times New Roman" w:cstheme="minorHAnsi"/>
                <w:color w:val="000000"/>
                <w:lang w:val="en" w:eastAsia="en-GB"/>
              </w:rPr>
            </w:pPr>
          </w:p>
        </w:tc>
      </w:tr>
      <w:tr w:rsidR="00C065FC" w:rsidRPr="00725993" w14:paraId="47523268" w14:textId="77777777" w:rsidTr="00A37E9E">
        <w:tc>
          <w:tcPr>
            <w:tcW w:w="2038" w:type="dxa"/>
          </w:tcPr>
          <w:p w14:paraId="1810D6C0" w14:textId="0F1C44ED" w:rsidR="00C065FC" w:rsidRDefault="00C065FC" w:rsidP="00C065FC">
            <w:pPr>
              <w:spacing w:after="165"/>
              <w:rPr>
                <w:rFonts w:eastAsia="Times New Roman" w:cstheme="minorHAnsi"/>
                <w:b/>
                <w:bCs/>
                <w:color w:val="000000"/>
                <w:lang w:val="en" w:eastAsia="en-GB"/>
              </w:rPr>
            </w:pPr>
            <w:proofErr w:type="spellStart"/>
            <w:r w:rsidRPr="00773E21">
              <w:rPr>
                <w:rFonts w:eastAsia="Times New Roman" w:cstheme="minorHAnsi"/>
                <w:b/>
                <w:bCs/>
                <w:color w:val="000000"/>
                <w:lang w:val="en" w:eastAsia="en-GB"/>
              </w:rPr>
              <w:t>Thalassaemia</w:t>
            </w:r>
            <w:proofErr w:type="spellEnd"/>
          </w:p>
        </w:tc>
        <w:tc>
          <w:tcPr>
            <w:tcW w:w="2945" w:type="dxa"/>
            <w:shd w:val="clear" w:color="auto" w:fill="FF0000"/>
          </w:tcPr>
          <w:p w14:paraId="4A8CEBCC" w14:textId="76491FD6" w:rsidR="00C065FC" w:rsidRPr="00773E21" w:rsidRDefault="00C065FC" w:rsidP="00C065FC">
            <w:pPr>
              <w:rPr>
                <w:rFonts w:cstheme="minorHAnsi"/>
              </w:rPr>
            </w:pPr>
            <w:r w:rsidRPr="00773E21">
              <w:rPr>
                <w:rFonts w:cstheme="minorHAnsi"/>
              </w:rPr>
              <w:t xml:space="preserve">Severe cardiac  iron overload (T2 *&lt; 10 </w:t>
            </w:r>
            <w:proofErr w:type="spellStart"/>
            <w:r w:rsidRPr="00773E21">
              <w:rPr>
                <w:rFonts w:cstheme="minorHAnsi"/>
              </w:rPr>
              <w:t>ms</w:t>
            </w:r>
            <w:proofErr w:type="spellEnd"/>
            <w:r w:rsidRPr="00773E21">
              <w:rPr>
                <w:rFonts w:cstheme="minorHAnsi"/>
              </w:rPr>
              <w:t>) AND additional co-morbidity (</w:t>
            </w:r>
            <w:proofErr w:type="spellStart"/>
            <w:r w:rsidRPr="00773E21">
              <w:rPr>
                <w:rFonts w:cstheme="minorHAnsi"/>
              </w:rPr>
              <w:t>eg</w:t>
            </w:r>
            <w:proofErr w:type="spellEnd"/>
            <w:r w:rsidRPr="00773E21">
              <w:rPr>
                <w:rFonts w:cstheme="minorHAnsi"/>
              </w:rPr>
              <w:t xml:space="preserve"> diabetes, chronic liver disease) </w:t>
            </w:r>
          </w:p>
          <w:p w14:paraId="590B440A" w14:textId="77777777" w:rsidR="00C065FC" w:rsidRPr="00725993" w:rsidRDefault="00C065FC" w:rsidP="00C065FC">
            <w:pPr>
              <w:spacing w:after="165"/>
              <w:rPr>
                <w:rFonts w:cstheme="minorHAnsi"/>
              </w:rPr>
            </w:pPr>
          </w:p>
        </w:tc>
        <w:tc>
          <w:tcPr>
            <w:tcW w:w="2105" w:type="dxa"/>
            <w:shd w:val="clear" w:color="auto" w:fill="FFD966" w:themeFill="accent4" w:themeFillTint="99"/>
          </w:tcPr>
          <w:p w14:paraId="0D602916" w14:textId="77777777" w:rsidR="000011E1" w:rsidRDefault="00C065FC" w:rsidP="00C065FC">
            <w:pPr>
              <w:contextualSpacing/>
              <w:rPr>
                <w:rFonts w:cstheme="minorHAnsi"/>
              </w:rPr>
            </w:pPr>
            <w:r w:rsidRPr="00773E21">
              <w:rPr>
                <w:rFonts w:cstheme="minorHAnsi"/>
              </w:rPr>
              <w:t>Patients 50 years and above;</w:t>
            </w:r>
          </w:p>
          <w:p w14:paraId="54E547F6" w14:textId="657F41E9" w:rsidR="00C065FC" w:rsidRPr="00773E21" w:rsidRDefault="00C065FC" w:rsidP="00C065FC">
            <w:pPr>
              <w:contextualSpacing/>
              <w:rPr>
                <w:rFonts w:cstheme="minorHAnsi"/>
              </w:rPr>
            </w:pPr>
            <w:r w:rsidRPr="00773E21">
              <w:rPr>
                <w:rFonts w:cstheme="minorHAnsi"/>
              </w:rPr>
              <w:t xml:space="preserve">Severe cardiac iron overload T2*&lt; 10ms, with no additional co-morbidities and adherent with therapy; </w:t>
            </w:r>
          </w:p>
          <w:p w14:paraId="7B069E14" w14:textId="77777777" w:rsidR="00C065FC" w:rsidRPr="00773E21" w:rsidRDefault="00C065FC" w:rsidP="00C065FC">
            <w:pPr>
              <w:contextualSpacing/>
              <w:rPr>
                <w:rFonts w:cstheme="minorHAnsi"/>
              </w:rPr>
            </w:pPr>
            <w:r w:rsidRPr="00773E21">
              <w:rPr>
                <w:rFonts w:cstheme="minorHAnsi"/>
              </w:rPr>
              <w:t xml:space="preserve">Cardiac iron overload (T2* 10-20ms); </w:t>
            </w:r>
          </w:p>
          <w:p w14:paraId="47EB4CD1" w14:textId="5F9BEB0D" w:rsidR="00C065FC" w:rsidRPr="00773E21" w:rsidRDefault="00C065FC" w:rsidP="00C065FC">
            <w:pPr>
              <w:contextualSpacing/>
              <w:rPr>
                <w:rFonts w:cstheme="minorHAnsi"/>
              </w:rPr>
            </w:pPr>
            <w:r w:rsidRPr="00773E21">
              <w:rPr>
                <w:rFonts w:cstheme="minorHAnsi"/>
              </w:rPr>
              <w:t xml:space="preserve">Severe - moderate iron overload (LIC &gt; 30mg/g </w:t>
            </w:r>
            <w:proofErr w:type="spellStart"/>
            <w:r w:rsidRPr="00773E21">
              <w:rPr>
                <w:rFonts w:cstheme="minorHAnsi"/>
              </w:rPr>
              <w:t>dw</w:t>
            </w:r>
            <w:proofErr w:type="spellEnd"/>
            <w:r w:rsidRPr="00773E21">
              <w:rPr>
                <w:rFonts w:cstheme="minorHAnsi"/>
              </w:rPr>
              <w:t xml:space="preserve"> and </w:t>
            </w:r>
            <w:r w:rsidR="008564CE">
              <w:rPr>
                <w:rFonts w:cstheme="minorHAnsi"/>
              </w:rPr>
              <w:t>cardiac</w:t>
            </w:r>
            <w:r w:rsidR="000011E1">
              <w:rPr>
                <w:rFonts w:cstheme="minorHAnsi"/>
              </w:rPr>
              <w:t xml:space="preserve"> </w:t>
            </w:r>
            <w:r w:rsidRPr="00773E21">
              <w:rPr>
                <w:rFonts w:cstheme="minorHAnsi"/>
              </w:rPr>
              <w:t xml:space="preserve">T2* &gt; 10 </w:t>
            </w:r>
            <w:proofErr w:type="spellStart"/>
            <w:r w:rsidRPr="00773E21">
              <w:rPr>
                <w:rFonts w:cstheme="minorHAnsi"/>
              </w:rPr>
              <w:t>ms</w:t>
            </w:r>
            <w:proofErr w:type="spellEnd"/>
            <w:r w:rsidRPr="00773E21">
              <w:rPr>
                <w:rFonts w:cstheme="minorHAnsi"/>
              </w:rPr>
              <w:t xml:space="preserve">) PLUS additional comorbidity  </w:t>
            </w:r>
          </w:p>
          <w:p w14:paraId="203E07A1" w14:textId="77777777" w:rsidR="00C065FC" w:rsidRPr="00725993" w:rsidRDefault="00C065FC" w:rsidP="00C065FC">
            <w:pPr>
              <w:spacing w:after="165"/>
              <w:rPr>
                <w:rFonts w:eastAsia="Times New Roman" w:cstheme="minorHAnsi"/>
                <w:color w:val="000000"/>
                <w:lang w:val="en" w:eastAsia="en-GB"/>
              </w:rPr>
            </w:pPr>
          </w:p>
        </w:tc>
        <w:tc>
          <w:tcPr>
            <w:tcW w:w="1928" w:type="dxa"/>
            <w:shd w:val="clear" w:color="auto" w:fill="A8D08D" w:themeFill="accent6" w:themeFillTint="99"/>
          </w:tcPr>
          <w:p w14:paraId="06B776B8" w14:textId="066DB805" w:rsidR="00C065FC" w:rsidRPr="00725993" w:rsidRDefault="00C065FC" w:rsidP="00C065FC">
            <w:pPr>
              <w:spacing w:after="165"/>
              <w:rPr>
                <w:rFonts w:eastAsia="Times New Roman" w:cstheme="minorHAnsi"/>
                <w:color w:val="000000"/>
                <w:lang w:val="en" w:eastAsia="en-GB"/>
              </w:rPr>
            </w:pPr>
            <w:r>
              <w:rPr>
                <w:rFonts w:eastAsia="Times New Roman" w:cstheme="minorHAnsi"/>
                <w:color w:val="000000"/>
                <w:lang w:val="en" w:eastAsia="en-GB"/>
              </w:rPr>
              <w:t xml:space="preserve">Splenectomy </w:t>
            </w:r>
          </w:p>
        </w:tc>
      </w:tr>
      <w:tr w:rsidR="00C065FC" w:rsidRPr="00725993" w14:paraId="2EFF4C54" w14:textId="77777777" w:rsidTr="00A37E9E">
        <w:tc>
          <w:tcPr>
            <w:tcW w:w="2038" w:type="dxa"/>
          </w:tcPr>
          <w:p w14:paraId="6D70B0F3" w14:textId="4C923D7E" w:rsidR="00C065FC" w:rsidRPr="00773E21" w:rsidRDefault="00C065FC" w:rsidP="00C065FC">
            <w:pPr>
              <w:spacing w:after="165"/>
              <w:rPr>
                <w:rFonts w:eastAsia="Times New Roman" w:cstheme="minorHAnsi"/>
                <w:b/>
                <w:bCs/>
                <w:color w:val="000000"/>
                <w:lang w:val="en" w:eastAsia="en-GB"/>
              </w:rPr>
            </w:pPr>
            <w:r w:rsidRPr="00773E21">
              <w:rPr>
                <w:rFonts w:eastAsia="Times New Roman" w:cstheme="minorHAnsi"/>
                <w:b/>
                <w:bCs/>
                <w:color w:val="000000"/>
                <w:lang w:val="en" w:eastAsia="en-GB"/>
              </w:rPr>
              <w:lastRenderedPageBreak/>
              <w:t>DBA</w:t>
            </w:r>
          </w:p>
        </w:tc>
        <w:tc>
          <w:tcPr>
            <w:tcW w:w="2945" w:type="dxa"/>
            <w:shd w:val="clear" w:color="auto" w:fill="FF0000"/>
          </w:tcPr>
          <w:p w14:paraId="17413ADD" w14:textId="214DDF72" w:rsidR="00C065FC" w:rsidRPr="00773E21" w:rsidRDefault="00C065FC" w:rsidP="00C065FC">
            <w:pPr>
              <w:rPr>
                <w:rFonts w:cstheme="minorHAnsi"/>
              </w:rPr>
            </w:pPr>
            <w:r w:rsidRPr="00773E21">
              <w:rPr>
                <w:rFonts w:eastAsia="Times New Roman" w:cstheme="minorHAnsi"/>
                <w:color w:val="000000"/>
                <w:lang w:val="en" w:eastAsia="en-GB"/>
              </w:rPr>
              <w:t>Patients who have had a BMT within one year or are on continuing immunosuppression</w:t>
            </w:r>
          </w:p>
        </w:tc>
        <w:tc>
          <w:tcPr>
            <w:tcW w:w="2105" w:type="dxa"/>
            <w:shd w:val="clear" w:color="auto" w:fill="FFD966" w:themeFill="accent4" w:themeFillTint="99"/>
          </w:tcPr>
          <w:p w14:paraId="3C7BE902" w14:textId="4381D5A1" w:rsidR="00C065FC" w:rsidRPr="00773E21" w:rsidRDefault="00C065FC" w:rsidP="00C065FC">
            <w:pPr>
              <w:contextualSpacing/>
              <w:rPr>
                <w:rFonts w:cstheme="minorHAnsi"/>
              </w:rPr>
            </w:pPr>
            <w:r w:rsidRPr="00773E21">
              <w:rPr>
                <w:rFonts w:eastAsia="Times New Roman" w:cstheme="minorHAnsi"/>
                <w:color w:val="000000"/>
                <w:lang w:val="en" w:eastAsia="en-GB"/>
              </w:rPr>
              <w:t xml:space="preserve">Associated immunodeficiency, severe iron overload (as per </w:t>
            </w:r>
            <w:proofErr w:type="spellStart"/>
            <w:r w:rsidRPr="00773E21">
              <w:rPr>
                <w:rFonts w:eastAsia="Times New Roman" w:cstheme="minorHAnsi"/>
                <w:color w:val="000000"/>
                <w:lang w:val="en" w:eastAsia="en-GB"/>
              </w:rPr>
              <w:t>thalassaemia</w:t>
            </w:r>
            <w:proofErr w:type="spellEnd"/>
            <w:r w:rsidRPr="00773E21">
              <w:rPr>
                <w:rFonts w:eastAsia="Times New Roman" w:cstheme="minorHAnsi"/>
                <w:color w:val="000000"/>
                <w:lang w:val="en" w:eastAsia="en-GB"/>
              </w:rPr>
              <w:t xml:space="preserve"> definition) or are on prednisolone (or equivalent) ≥20 mg/day*</w:t>
            </w:r>
          </w:p>
        </w:tc>
        <w:tc>
          <w:tcPr>
            <w:tcW w:w="1928" w:type="dxa"/>
            <w:shd w:val="clear" w:color="auto" w:fill="A8D08D" w:themeFill="accent6" w:themeFillTint="99"/>
          </w:tcPr>
          <w:p w14:paraId="78A6B875" w14:textId="77777777" w:rsidR="00C065FC" w:rsidRDefault="00C065FC" w:rsidP="00C065FC">
            <w:pPr>
              <w:spacing w:after="165"/>
              <w:rPr>
                <w:rFonts w:eastAsia="Times New Roman" w:cstheme="minorHAnsi"/>
                <w:color w:val="000000"/>
                <w:lang w:val="en" w:eastAsia="en-GB"/>
              </w:rPr>
            </w:pPr>
          </w:p>
        </w:tc>
      </w:tr>
      <w:tr w:rsidR="00C065FC" w:rsidRPr="00725993" w14:paraId="258C39CC" w14:textId="77777777" w:rsidTr="00A37E9E">
        <w:tc>
          <w:tcPr>
            <w:tcW w:w="2038" w:type="dxa"/>
          </w:tcPr>
          <w:p w14:paraId="16CBFDD9" w14:textId="52354EB6" w:rsidR="00C065FC" w:rsidRPr="00773E21" w:rsidRDefault="00C065FC" w:rsidP="00C065FC">
            <w:pPr>
              <w:spacing w:after="165"/>
              <w:rPr>
                <w:rFonts w:eastAsia="Times New Roman" w:cstheme="minorHAnsi"/>
                <w:b/>
                <w:bCs/>
                <w:color w:val="000000"/>
                <w:lang w:val="en" w:eastAsia="en-GB"/>
              </w:rPr>
            </w:pPr>
            <w:r>
              <w:rPr>
                <w:rFonts w:eastAsia="Times New Roman" w:cstheme="minorHAnsi"/>
                <w:b/>
                <w:bCs/>
                <w:color w:val="000000"/>
                <w:lang w:val="en" w:eastAsia="en-GB"/>
              </w:rPr>
              <w:t>O</w:t>
            </w:r>
            <w:r w:rsidRPr="00773E21">
              <w:rPr>
                <w:rFonts w:eastAsia="Times New Roman" w:cstheme="minorHAnsi"/>
                <w:b/>
                <w:bCs/>
                <w:color w:val="000000"/>
                <w:lang w:val="en" w:eastAsia="en-GB"/>
              </w:rPr>
              <w:t xml:space="preserve">ther rare inherited </w:t>
            </w:r>
            <w:proofErr w:type="spellStart"/>
            <w:r w:rsidRPr="00773E21">
              <w:rPr>
                <w:rFonts w:eastAsia="Times New Roman" w:cstheme="minorHAnsi"/>
                <w:b/>
                <w:bCs/>
                <w:color w:val="000000"/>
                <w:lang w:val="en" w:eastAsia="en-GB"/>
              </w:rPr>
              <w:t>anaemias</w:t>
            </w:r>
            <w:proofErr w:type="spellEnd"/>
            <w:r w:rsidRPr="00773E21">
              <w:rPr>
                <w:rFonts w:eastAsia="Times New Roman" w:cstheme="minorHAnsi"/>
                <w:b/>
                <w:bCs/>
                <w:color w:val="000000"/>
                <w:lang w:val="en" w:eastAsia="en-GB"/>
              </w:rPr>
              <w:t xml:space="preserve">, e.g. pyruvate kinase deficiency, congenital </w:t>
            </w:r>
            <w:proofErr w:type="spellStart"/>
            <w:r w:rsidRPr="00773E21">
              <w:rPr>
                <w:rFonts w:eastAsia="Times New Roman" w:cstheme="minorHAnsi"/>
                <w:b/>
                <w:bCs/>
                <w:color w:val="000000"/>
                <w:lang w:val="en" w:eastAsia="en-GB"/>
              </w:rPr>
              <w:t>dyserythopoietic</w:t>
            </w:r>
            <w:proofErr w:type="spellEnd"/>
            <w:r w:rsidRPr="00773E21">
              <w:rPr>
                <w:rFonts w:eastAsia="Times New Roman" w:cstheme="minorHAnsi"/>
                <w:b/>
                <w:bCs/>
                <w:color w:val="000000"/>
                <w:lang w:val="en" w:eastAsia="en-GB"/>
              </w:rPr>
              <w:t xml:space="preserve"> anaemia</w:t>
            </w:r>
          </w:p>
        </w:tc>
        <w:tc>
          <w:tcPr>
            <w:tcW w:w="2945" w:type="dxa"/>
            <w:shd w:val="clear" w:color="auto" w:fill="FF0000"/>
          </w:tcPr>
          <w:p w14:paraId="2AD632EB" w14:textId="1FC71842" w:rsidR="00C065FC" w:rsidRPr="00773E21" w:rsidRDefault="00C065FC" w:rsidP="001F4867">
            <w:pPr>
              <w:rPr>
                <w:rFonts w:eastAsia="Times New Roman" w:cstheme="minorHAnsi"/>
                <w:color w:val="000000"/>
                <w:lang w:val="en" w:eastAsia="en-GB"/>
              </w:rPr>
            </w:pPr>
            <w:r w:rsidRPr="00773E21">
              <w:rPr>
                <w:rFonts w:cstheme="minorHAnsi"/>
              </w:rPr>
              <w:t>If they are at particularly high risk due to iron overload as per thalassaemia guidelines above.</w:t>
            </w:r>
          </w:p>
        </w:tc>
        <w:tc>
          <w:tcPr>
            <w:tcW w:w="2105" w:type="dxa"/>
            <w:shd w:val="clear" w:color="auto" w:fill="FFD966" w:themeFill="accent4" w:themeFillTint="99"/>
          </w:tcPr>
          <w:p w14:paraId="766C26FA" w14:textId="77777777" w:rsidR="00C065FC" w:rsidRPr="00773E21" w:rsidRDefault="00C065FC" w:rsidP="00C065FC">
            <w:pPr>
              <w:contextualSpacing/>
              <w:rPr>
                <w:rFonts w:eastAsia="Times New Roman" w:cstheme="minorHAnsi"/>
                <w:color w:val="000000"/>
                <w:lang w:val="en" w:eastAsia="en-GB"/>
              </w:rPr>
            </w:pPr>
          </w:p>
        </w:tc>
        <w:tc>
          <w:tcPr>
            <w:tcW w:w="1928" w:type="dxa"/>
            <w:shd w:val="clear" w:color="auto" w:fill="A8D08D" w:themeFill="accent6" w:themeFillTint="99"/>
          </w:tcPr>
          <w:p w14:paraId="2E203B35" w14:textId="68B4227D" w:rsidR="00C065FC" w:rsidRDefault="00C065FC" w:rsidP="00C065FC">
            <w:pPr>
              <w:spacing w:after="165"/>
              <w:rPr>
                <w:rFonts w:eastAsia="Times New Roman" w:cstheme="minorHAnsi"/>
                <w:color w:val="000000"/>
                <w:lang w:val="en" w:eastAsia="en-GB"/>
              </w:rPr>
            </w:pPr>
            <w:r>
              <w:rPr>
                <w:rFonts w:eastAsia="Times New Roman" w:cstheme="minorHAnsi"/>
                <w:color w:val="000000"/>
                <w:lang w:val="en" w:eastAsia="en-GB"/>
              </w:rPr>
              <w:t xml:space="preserve">Splenectomy </w:t>
            </w:r>
          </w:p>
        </w:tc>
      </w:tr>
    </w:tbl>
    <w:p w14:paraId="576A451C" w14:textId="77777777" w:rsidR="00725993" w:rsidRDefault="00725993" w:rsidP="00D15FB4">
      <w:pPr>
        <w:pStyle w:val="PlainText"/>
      </w:pPr>
    </w:p>
    <w:p w14:paraId="7D8D4B69" w14:textId="77777777" w:rsidR="00086AEA" w:rsidRPr="00086AEA" w:rsidRDefault="00086AEA" w:rsidP="00086AEA">
      <w:pPr>
        <w:spacing w:after="165"/>
        <w:rPr>
          <w:rFonts w:eastAsia="Times New Roman" w:cstheme="minorHAnsi"/>
          <w:color w:val="000000"/>
          <w:lang w:val="en" w:eastAsia="en-GB"/>
        </w:rPr>
      </w:pPr>
      <w:r w:rsidRPr="00086AEA">
        <w:rPr>
          <w:rFonts w:eastAsia="Times New Roman" w:cstheme="minorHAnsi"/>
          <w:color w:val="000000"/>
          <w:lang w:val="en" w:eastAsia="en-GB"/>
        </w:rPr>
        <w:t>*Most patients with DBA responsive to steroids are on doses of prednisolone ≤5 mg/kg or ≤20 mg on alternate days and therefore do NOT fall in this group.</w:t>
      </w:r>
    </w:p>
    <w:p w14:paraId="0A24C8F0" w14:textId="3092EBB0" w:rsidR="00D15FB4" w:rsidRDefault="00086AEA" w:rsidP="00086AEA">
      <w:pPr>
        <w:rPr>
          <w:rFonts w:cstheme="minorHAnsi"/>
        </w:rPr>
      </w:pPr>
      <w:r w:rsidRPr="00086AEA">
        <w:rPr>
          <w:rFonts w:cstheme="minorHAnsi"/>
        </w:rPr>
        <w:t>**Age &gt;70 years has been highlighted in the general population, but in view of the high rates of co-morbidities in this patient group, age &gt;50 years is likely to be associated with increased risk.</w:t>
      </w:r>
    </w:p>
    <w:p w14:paraId="1F0405BE" w14:textId="77777777" w:rsidR="00086AEA" w:rsidRPr="00086AEA" w:rsidRDefault="00086AEA" w:rsidP="00086AEA">
      <w:pPr>
        <w:spacing w:after="0" w:line="276" w:lineRule="auto"/>
        <w:jc w:val="both"/>
        <w:rPr>
          <w:rFonts w:cstheme="minorHAnsi"/>
        </w:rPr>
      </w:pPr>
      <w:r w:rsidRPr="00086AEA">
        <w:rPr>
          <w:rFonts w:cstheme="minorHAnsi"/>
        </w:rPr>
        <w:t>Pregnant patients should be managed in accordance with the RCOG and government guidance, with updated risk assessments undertaken with employers. It is acknowledged that evidence is only just being gathered in this population hence this criteria will remain under regular review and be updated based on it.</w:t>
      </w:r>
    </w:p>
    <w:p w14:paraId="403D647F" w14:textId="77777777" w:rsidR="00D15FB4" w:rsidRDefault="00D15FB4" w:rsidP="00782F8A">
      <w:pPr>
        <w:rPr>
          <w:rFonts w:cstheme="minorHAnsi"/>
        </w:rPr>
      </w:pPr>
    </w:p>
    <w:p w14:paraId="247BBF35" w14:textId="56D079F1" w:rsidR="00086AEA" w:rsidRPr="00086AEA" w:rsidRDefault="00E53FCD" w:rsidP="00086AEA">
      <w:pPr>
        <w:pStyle w:val="IntenseQuote"/>
        <w:rPr>
          <w:rFonts w:cstheme="minorHAnsi"/>
          <w:b/>
          <w:bCs/>
        </w:rPr>
      </w:pPr>
      <w:r>
        <w:t xml:space="preserve"> </w:t>
      </w:r>
      <w:r w:rsidR="00607F74">
        <w:t>5</w:t>
      </w:r>
      <w:r w:rsidR="00086AEA" w:rsidRPr="00086AEA">
        <w:rPr>
          <w:rFonts w:cstheme="minorHAnsi"/>
          <w:b/>
          <w:bCs/>
        </w:rPr>
        <w:t xml:space="preserve"> Advice to patients on employment/education </w:t>
      </w:r>
    </w:p>
    <w:p w14:paraId="3A631584" w14:textId="77777777" w:rsidR="00086AEA" w:rsidRPr="00086AEA" w:rsidRDefault="00086AEA" w:rsidP="00086AEA">
      <w:pPr>
        <w:rPr>
          <w:rFonts w:cstheme="minorHAnsi"/>
          <w:b/>
        </w:rPr>
      </w:pPr>
      <w:r w:rsidRPr="00086AEA">
        <w:rPr>
          <w:rFonts w:cstheme="minorHAnsi"/>
        </w:rPr>
        <w:t>Patients may also have risk factors relating to their work/education environment</w:t>
      </w:r>
      <w:r w:rsidRPr="00086AEA">
        <w:rPr>
          <w:rFonts w:cstheme="minorHAnsi"/>
          <w:b/>
        </w:rPr>
        <w:t xml:space="preserve">.  For all patients clinicians should review continue social distancing, discuss their commute and work/school environment and the </w:t>
      </w:r>
      <w:proofErr w:type="gramStart"/>
      <w:r w:rsidRPr="00086AEA">
        <w:rPr>
          <w:rFonts w:cstheme="minorHAnsi"/>
          <w:b/>
        </w:rPr>
        <w:t>potential  risks</w:t>
      </w:r>
      <w:proofErr w:type="gramEnd"/>
      <w:r w:rsidRPr="00086AEA">
        <w:rPr>
          <w:rFonts w:cstheme="minorHAnsi"/>
          <w:b/>
        </w:rPr>
        <w:t>:</w:t>
      </w:r>
    </w:p>
    <w:p w14:paraId="063D4AD0" w14:textId="77777777" w:rsidR="00086AEA" w:rsidRPr="00086AEA" w:rsidRDefault="00086AEA" w:rsidP="00086AEA">
      <w:pPr>
        <w:numPr>
          <w:ilvl w:val="0"/>
          <w:numId w:val="31"/>
        </w:numPr>
        <w:spacing w:after="0" w:line="240" w:lineRule="auto"/>
        <w:contextualSpacing/>
        <w:rPr>
          <w:rFonts w:cstheme="minorHAnsi"/>
        </w:rPr>
      </w:pPr>
      <w:r w:rsidRPr="00086AEA">
        <w:rPr>
          <w:rFonts w:cstheme="minorHAnsi"/>
        </w:rPr>
        <w:t>Patient in a public/client facing/interacting: such as healthcare, education, travel, childcare</w:t>
      </w:r>
    </w:p>
    <w:p w14:paraId="786BC994" w14:textId="77777777" w:rsidR="00086AEA" w:rsidRPr="00086AEA" w:rsidRDefault="00086AEA" w:rsidP="00086AEA">
      <w:pPr>
        <w:numPr>
          <w:ilvl w:val="2"/>
          <w:numId w:val="31"/>
        </w:numPr>
        <w:spacing w:after="0" w:line="240" w:lineRule="auto"/>
        <w:contextualSpacing/>
        <w:rPr>
          <w:rFonts w:cstheme="minorHAnsi"/>
        </w:rPr>
      </w:pPr>
      <w:r w:rsidRPr="00086AEA">
        <w:rPr>
          <w:rFonts w:cstheme="minorHAnsi"/>
        </w:rPr>
        <w:t>OH assessment advised</w:t>
      </w:r>
    </w:p>
    <w:p w14:paraId="5A211F8F" w14:textId="77777777" w:rsidR="00086AEA" w:rsidRPr="00086AEA" w:rsidRDefault="00086AEA" w:rsidP="00086AEA">
      <w:pPr>
        <w:numPr>
          <w:ilvl w:val="2"/>
          <w:numId w:val="31"/>
        </w:numPr>
        <w:spacing w:after="0" w:line="240" w:lineRule="auto"/>
        <w:contextualSpacing/>
        <w:rPr>
          <w:rFonts w:cstheme="minorHAnsi"/>
        </w:rPr>
      </w:pPr>
      <w:r w:rsidRPr="00086AEA">
        <w:rPr>
          <w:rFonts w:cstheme="minorHAnsi"/>
        </w:rPr>
        <w:t>Recommend as per PHE website – to work from home/redeployment to a less client facing area.</w:t>
      </w:r>
    </w:p>
    <w:p w14:paraId="43C4A743" w14:textId="77777777" w:rsidR="00086AEA" w:rsidRPr="00086AEA" w:rsidRDefault="00086AEA" w:rsidP="00086AEA">
      <w:pPr>
        <w:numPr>
          <w:ilvl w:val="2"/>
          <w:numId w:val="31"/>
        </w:numPr>
        <w:spacing w:after="0" w:line="240" w:lineRule="auto"/>
        <w:contextualSpacing/>
        <w:rPr>
          <w:rFonts w:cstheme="minorHAnsi"/>
        </w:rPr>
      </w:pPr>
      <w:r w:rsidRPr="00086AEA">
        <w:rPr>
          <w:rFonts w:cstheme="minorHAnsi"/>
        </w:rPr>
        <w:t>If patient willing to accept risk and return to work suggest we advise use of appropriate PPE.</w:t>
      </w:r>
    </w:p>
    <w:p w14:paraId="6A5187E9" w14:textId="77777777" w:rsidR="00086AEA" w:rsidRPr="00086AEA" w:rsidRDefault="00086AEA" w:rsidP="00086AEA">
      <w:pPr>
        <w:numPr>
          <w:ilvl w:val="0"/>
          <w:numId w:val="31"/>
        </w:numPr>
        <w:spacing w:after="0" w:line="240" w:lineRule="auto"/>
        <w:contextualSpacing/>
        <w:rPr>
          <w:rFonts w:cstheme="minorHAnsi"/>
        </w:rPr>
      </w:pPr>
      <w:r w:rsidRPr="00086AEA">
        <w:rPr>
          <w:rFonts w:cstheme="minorHAnsi"/>
        </w:rPr>
        <w:t xml:space="preserve">Travel </w:t>
      </w:r>
    </w:p>
    <w:p w14:paraId="54D7D5ED" w14:textId="77777777" w:rsidR="00086AEA" w:rsidRPr="00086AEA" w:rsidRDefault="00086AEA" w:rsidP="00086AEA">
      <w:pPr>
        <w:numPr>
          <w:ilvl w:val="2"/>
          <w:numId w:val="31"/>
        </w:numPr>
        <w:spacing w:after="0" w:line="240" w:lineRule="auto"/>
        <w:contextualSpacing/>
        <w:rPr>
          <w:rFonts w:cstheme="minorHAnsi"/>
        </w:rPr>
      </w:pPr>
      <w:r w:rsidRPr="00086AEA">
        <w:rPr>
          <w:rFonts w:cstheme="minorHAnsi"/>
        </w:rPr>
        <w:t>Avoid public transport if possible</w:t>
      </w:r>
    </w:p>
    <w:p w14:paraId="7736CE98" w14:textId="77777777" w:rsidR="00086AEA" w:rsidRPr="00086AEA" w:rsidRDefault="00086AEA" w:rsidP="00086AEA">
      <w:pPr>
        <w:numPr>
          <w:ilvl w:val="2"/>
          <w:numId w:val="31"/>
        </w:numPr>
        <w:spacing w:after="0" w:line="240" w:lineRule="auto"/>
        <w:contextualSpacing/>
        <w:rPr>
          <w:rFonts w:cstheme="minorHAnsi"/>
        </w:rPr>
      </w:pPr>
      <w:r w:rsidRPr="00086AEA">
        <w:rPr>
          <w:rFonts w:cstheme="minorHAnsi"/>
        </w:rPr>
        <w:t xml:space="preserve">If must use public transport then consider travel outside peak hours  </w:t>
      </w:r>
    </w:p>
    <w:p w14:paraId="0CA093D5" w14:textId="77777777" w:rsidR="00086AEA" w:rsidRPr="00086AEA" w:rsidRDefault="00086AEA" w:rsidP="00086AEA">
      <w:pPr>
        <w:numPr>
          <w:ilvl w:val="2"/>
          <w:numId w:val="31"/>
        </w:numPr>
        <w:spacing w:after="0" w:line="240" w:lineRule="auto"/>
        <w:contextualSpacing/>
        <w:rPr>
          <w:rFonts w:cstheme="minorHAnsi"/>
        </w:rPr>
      </w:pPr>
      <w:r w:rsidRPr="00086AEA">
        <w:rPr>
          <w:rFonts w:cstheme="minorHAnsi"/>
        </w:rPr>
        <w:t>Avoid transiting through busy thoroughfares (e.g. shopping malls at peak times)</w:t>
      </w:r>
    </w:p>
    <w:p w14:paraId="07541A8A" w14:textId="77777777" w:rsidR="00086AEA" w:rsidRPr="00086AEA" w:rsidRDefault="00086AEA" w:rsidP="00086AEA">
      <w:pPr>
        <w:numPr>
          <w:ilvl w:val="0"/>
          <w:numId w:val="31"/>
        </w:numPr>
        <w:spacing w:after="0" w:line="240" w:lineRule="auto"/>
        <w:contextualSpacing/>
        <w:rPr>
          <w:rFonts w:cstheme="minorHAnsi"/>
        </w:rPr>
      </w:pPr>
      <w:r w:rsidRPr="00086AEA">
        <w:rPr>
          <w:rFonts w:cstheme="minorHAnsi"/>
        </w:rPr>
        <w:t>Parents with children returning to school – await government advice for Sept:</w:t>
      </w:r>
    </w:p>
    <w:p w14:paraId="408AD089" w14:textId="77777777" w:rsidR="00086AEA" w:rsidRPr="00086AEA" w:rsidRDefault="00086AEA" w:rsidP="00086AEA">
      <w:pPr>
        <w:numPr>
          <w:ilvl w:val="2"/>
          <w:numId w:val="31"/>
        </w:numPr>
        <w:spacing w:after="0" w:line="240" w:lineRule="auto"/>
        <w:contextualSpacing/>
        <w:rPr>
          <w:rFonts w:cstheme="minorHAnsi"/>
        </w:rPr>
      </w:pPr>
      <w:r w:rsidRPr="00086AEA">
        <w:rPr>
          <w:rFonts w:cstheme="minorHAnsi"/>
        </w:rPr>
        <w:t xml:space="preserve">Per government advice continued social distancing, </w:t>
      </w:r>
    </w:p>
    <w:p w14:paraId="286EFEA6" w14:textId="77777777" w:rsidR="00086AEA" w:rsidRPr="00086AEA" w:rsidRDefault="00086AEA" w:rsidP="00086AEA">
      <w:pPr>
        <w:numPr>
          <w:ilvl w:val="2"/>
          <w:numId w:val="31"/>
        </w:numPr>
        <w:spacing w:after="0" w:line="240" w:lineRule="auto"/>
        <w:contextualSpacing/>
        <w:rPr>
          <w:rFonts w:cstheme="minorHAnsi"/>
        </w:rPr>
      </w:pPr>
      <w:r w:rsidRPr="00086AEA">
        <w:rPr>
          <w:rFonts w:cstheme="minorHAnsi"/>
        </w:rPr>
        <w:t xml:space="preserve">Discuss staggered/distanced drop off for very young with the schools   </w:t>
      </w:r>
    </w:p>
    <w:p w14:paraId="452BE8D7" w14:textId="77777777" w:rsidR="00086AEA" w:rsidRPr="00086AEA" w:rsidRDefault="00086AEA" w:rsidP="00086AEA">
      <w:pPr>
        <w:numPr>
          <w:ilvl w:val="2"/>
          <w:numId w:val="31"/>
        </w:numPr>
        <w:spacing w:after="0" w:line="240" w:lineRule="auto"/>
        <w:contextualSpacing/>
        <w:rPr>
          <w:rFonts w:cstheme="minorHAnsi"/>
        </w:rPr>
      </w:pPr>
      <w:r w:rsidRPr="00086AEA">
        <w:rPr>
          <w:rFonts w:cstheme="minorHAnsi"/>
        </w:rPr>
        <w:lastRenderedPageBreak/>
        <w:t>Continued good hygiene measures hand washing etc</w:t>
      </w:r>
    </w:p>
    <w:p w14:paraId="40906555" w14:textId="77777777" w:rsidR="00086AEA" w:rsidRPr="00086AEA" w:rsidRDefault="00086AEA" w:rsidP="00086AEA">
      <w:pPr>
        <w:numPr>
          <w:ilvl w:val="2"/>
          <w:numId w:val="31"/>
        </w:numPr>
        <w:spacing w:after="0" w:line="240" w:lineRule="auto"/>
        <w:contextualSpacing/>
        <w:rPr>
          <w:rFonts w:cstheme="minorHAnsi"/>
        </w:rPr>
      </w:pPr>
      <w:r w:rsidRPr="00086AEA">
        <w:rPr>
          <w:rFonts w:cstheme="minorHAnsi"/>
        </w:rPr>
        <w:t>Keep outer wear separate</w:t>
      </w:r>
    </w:p>
    <w:p w14:paraId="7E8C56ED" w14:textId="77777777" w:rsidR="00086AEA" w:rsidRPr="00086AEA" w:rsidRDefault="00086AEA" w:rsidP="00086AEA">
      <w:pPr>
        <w:spacing w:after="0" w:line="240" w:lineRule="auto"/>
        <w:ind w:left="1440"/>
        <w:contextualSpacing/>
        <w:rPr>
          <w:rFonts w:cstheme="minorHAnsi"/>
        </w:rPr>
      </w:pPr>
    </w:p>
    <w:p w14:paraId="68EFB543" w14:textId="77777777" w:rsidR="00086AEA" w:rsidRPr="00086AEA" w:rsidRDefault="00086AEA" w:rsidP="00086AEA">
      <w:pPr>
        <w:spacing w:after="0" w:line="276" w:lineRule="auto"/>
        <w:rPr>
          <w:rFonts w:cstheme="minorHAnsi"/>
        </w:rPr>
      </w:pPr>
      <w:r w:rsidRPr="00086AEA">
        <w:rPr>
          <w:rFonts w:cstheme="minorHAnsi"/>
        </w:rPr>
        <w:t xml:space="preserve">As lockdown is relaxed it is likely that individuals will need to return to work or education. National recommendations will need to be followed but general principles are discussed below. </w:t>
      </w:r>
    </w:p>
    <w:p w14:paraId="4F09AC39" w14:textId="77777777" w:rsidR="00086AEA" w:rsidRPr="00086AEA" w:rsidRDefault="00086AEA" w:rsidP="00086AEA">
      <w:pPr>
        <w:spacing w:after="0" w:line="276" w:lineRule="auto"/>
        <w:rPr>
          <w:rFonts w:cstheme="minorHAnsi"/>
        </w:rPr>
      </w:pPr>
    </w:p>
    <w:p w14:paraId="4120DB3A" w14:textId="77777777" w:rsidR="00086AEA" w:rsidRPr="00086AEA" w:rsidRDefault="00086AEA" w:rsidP="00086AEA">
      <w:pPr>
        <w:keepNext/>
        <w:spacing w:after="0" w:line="276" w:lineRule="auto"/>
        <w:outlineLvl w:val="0"/>
        <w:rPr>
          <w:rFonts w:cstheme="minorHAnsi"/>
          <w:i/>
        </w:rPr>
      </w:pPr>
      <w:r w:rsidRPr="00086AEA">
        <w:rPr>
          <w:rFonts w:cstheme="minorHAnsi"/>
          <w:i/>
        </w:rPr>
        <w:t>Employment</w:t>
      </w:r>
    </w:p>
    <w:p w14:paraId="248715B7" w14:textId="77777777" w:rsidR="00086AEA" w:rsidRPr="00086AEA" w:rsidRDefault="00086AEA" w:rsidP="00086AEA">
      <w:pPr>
        <w:spacing w:after="0" w:line="276" w:lineRule="auto"/>
        <w:jc w:val="both"/>
        <w:rPr>
          <w:rFonts w:cstheme="minorHAnsi"/>
        </w:rPr>
      </w:pPr>
      <w:r w:rsidRPr="00086AEA">
        <w:rPr>
          <w:rFonts w:cstheme="minorHAnsi"/>
        </w:rPr>
        <w:t xml:space="preserve">Workers should work from home if they are able to do so and employers are encouraged to support this.  Once shielding of highly vulnerable individuals is stopped and for non-shielded patients, if patients decide to return to work employers should make special accommodations for vulnerable individuals at work if working from home is not possible.  This will include robust social distancing within the work environment, the use of teleconferencing and the use of protective equipment.  As restrictions are lifted vulnerable individuals will be able to resume working normally but will need to maintain physical distancing while in public places. </w:t>
      </w:r>
    </w:p>
    <w:p w14:paraId="6D58D88E" w14:textId="77777777" w:rsidR="00086AEA" w:rsidRPr="00086AEA" w:rsidRDefault="00086AEA" w:rsidP="00086AEA">
      <w:pPr>
        <w:spacing w:after="0" w:line="276" w:lineRule="auto"/>
        <w:rPr>
          <w:rFonts w:cstheme="minorHAnsi"/>
        </w:rPr>
      </w:pPr>
    </w:p>
    <w:p w14:paraId="0478BFF1" w14:textId="77777777" w:rsidR="00086AEA" w:rsidRPr="00086AEA" w:rsidRDefault="00086AEA" w:rsidP="00086AEA">
      <w:pPr>
        <w:keepNext/>
        <w:spacing w:after="0" w:line="276" w:lineRule="auto"/>
        <w:jc w:val="both"/>
        <w:outlineLvl w:val="0"/>
        <w:rPr>
          <w:rFonts w:cstheme="minorHAnsi"/>
          <w:i/>
        </w:rPr>
      </w:pPr>
      <w:r w:rsidRPr="00086AEA">
        <w:rPr>
          <w:rFonts w:cstheme="minorHAnsi"/>
          <w:i/>
        </w:rPr>
        <w:t>Education</w:t>
      </w:r>
    </w:p>
    <w:p w14:paraId="276839DF" w14:textId="77777777" w:rsidR="00086AEA" w:rsidRPr="00086AEA" w:rsidRDefault="00086AEA" w:rsidP="00086AEA">
      <w:pPr>
        <w:spacing w:after="0" w:line="276" w:lineRule="auto"/>
        <w:jc w:val="both"/>
        <w:rPr>
          <w:rFonts w:cstheme="minorHAnsi"/>
        </w:rPr>
      </w:pPr>
      <w:r w:rsidRPr="00086AEA">
        <w:rPr>
          <w:rFonts w:cstheme="minorHAnsi"/>
        </w:rPr>
        <w:t xml:space="preserve">Children of school age should be following national recommendations on school attendance </w:t>
      </w:r>
    </w:p>
    <w:p w14:paraId="6480F820" w14:textId="77777777" w:rsidR="00086AEA" w:rsidRPr="00086AEA" w:rsidRDefault="00086AEA" w:rsidP="00086AEA">
      <w:pPr>
        <w:spacing w:after="0" w:line="276" w:lineRule="auto"/>
        <w:jc w:val="both"/>
        <w:rPr>
          <w:rFonts w:cstheme="minorHAnsi"/>
        </w:rPr>
      </w:pPr>
    </w:p>
    <w:p w14:paraId="42BBD4D8" w14:textId="77777777" w:rsidR="00086AEA" w:rsidRPr="00086AEA" w:rsidRDefault="00086AEA" w:rsidP="00086AEA">
      <w:pPr>
        <w:keepNext/>
        <w:spacing w:after="0" w:line="276" w:lineRule="auto"/>
        <w:jc w:val="both"/>
        <w:outlineLvl w:val="0"/>
        <w:rPr>
          <w:rFonts w:cstheme="minorHAnsi"/>
          <w:i/>
        </w:rPr>
      </w:pPr>
      <w:r w:rsidRPr="00086AEA">
        <w:rPr>
          <w:rFonts w:cstheme="minorHAnsi"/>
          <w:i/>
        </w:rPr>
        <w:t>Carers</w:t>
      </w:r>
    </w:p>
    <w:p w14:paraId="3AE1278E" w14:textId="77777777" w:rsidR="00086AEA" w:rsidRPr="00086AEA" w:rsidRDefault="00086AEA" w:rsidP="00086AEA">
      <w:pPr>
        <w:spacing w:after="0" w:line="276" w:lineRule="auto"/>
        <w:jc w:val="both"/>
        <w:rPr>
          <w:rFonts w:cstheme="minorHAnsi"/>
        </w:rPr>
      </w:pPr>
      <w:r w:rsidRPr="00086AEA">
        <w:rPr>
          <w:rFonts w:cstheme="minorHAnsi"/>
        </w:rPr>
        <w:t xml:space="preserve">In some cases carers of highly vulnerable children or adults, particularly those in high risk occupations, have asked to or been advised to work from home whilst family members are shielding.  As restrictions are lifted they should continue to follow national recommendations and should discuss concerns with health professionals.  Once shielding of highly vulnerable individuals is stopped and for carers of non-shielded patients, as they return to work employers should make special accommodations including robust social distancing within the work environment, the use of teleconferencing and the use of protective equipment.  As restrictions are lifted these carers will be able to resume working normally but will need to maintain physical distancing while in public places. Non-shielded individuals should avoid public transport whilst safety concerns remain. </w:t>
      </w:r>
    </w:p>
    <w:p w14:paraId="6AB73831" w14:textId="55BD88C6" w:rsidR="00086AEA" w:rsidRPr="00086AEA" w:rsidRDefault="00607F74" w:rsidP="00086AEA">
      <w:pPr>
        <w:pBdr>
          <w:top w:val="single" w:sz="4" w:space="10" w:color="5B9BD5" w:themeColor="accent1"/>
          <w:bottom w:val="single" w:sz="4" w:space="10" w:color="5B9BD5" w:themeColor="accent1"/>
        </w:pBdr>
        <w:spacing w:before="360" w:after="360"/>
        <w:ind w:left="864" w:right="864"/>
        <w:jc w:val="center"/>
        <w:rPr>
          <w:rFonts w:cstheme="minorHAnsi"/>
          <w:b/>
          <w:bCs/>
          <w:i/>
          <w:iCs/>
          <w:color w:val="5B9BD5" w:themeColor="accent1"/>
        </w:rPr>
      </w:pPr>
      <w:r>
        <w:rPr>
          <w:rFonts w:cstheme="minorHAnsi"/>
          <w:b/>
          <w:bCs/>
          <w:i/>
          <w:iCs/>
          <w:color w:val="5B9BD5" w:themeColor="accent1"/>
        </w:rPr>
        <w:t>6</w:t>
      </w:r>
      <w:r w:rsidR="00086AEA" w:rsidRPr="00086AEA">
        <w:rPr>
          <w:rFonts w:cstheme="minorHAnsi"/>
          <w:b/>
          <w:bCs/>
          <w:i/>
          <w:iCs/>
          <w:color w:val="5B9BD5" w:themeColor="accent1"/>
        </w:rPr>
        <w:t xml:space="preserve"> Additional patient information </w:t>
      </w:r>
    </w:p>
    <w:p w14:paraId="11F3A631" w14:textId="77777777" w:rsidR="00086AEA" w:rsidRPr="00086AEA" w:rsidRDefault="00086AEA" w:rsidP="00086AEA">
      <w:pPr>
        <w:rPr>
          <w:rFonts w:cstheme="minorHAnsi"/>
        </w:rPr>
      </w:pPr>
      <w:r w:rsidRPr="00086AEA">
        <w:rPr>
          <w:rFonts w:cstheme="minorHAnsi"/>
        </w:rPr>
        <w:t>Refer patients to up to date advice on the NHSE and PHE websites. There are also resources on the UKTS and Sickle Cell Society web pages (</w:t>
      </w:r>
      <w:hyperlink r:id="rId11" w:history="1">
        <w:r w:rsidRPr="00086AEA">
          <w:rPr>
            <w:rFonts w:cstheme="minorHAnsi"/>
            <w:color w:val="0563C1" w:themeColor="hyperlink"/>
            <w:u w:val="single"/>
          </w:rPr>
          <w:t>https://ukts.org/heads-up/coronavirus-information/</w:t>
        </w:r>
      </w:hyperlink>
      <w:r w:rsidRPr="00086AEA">
        <w:rPr>
          <w:rFonts w:cstheme="minorHAnsi"/>
        </w:rPr>
        <w:t xml:space="preserve">  and </w:t>
      </w:r>
      <w:hyperlink r:id="rId12" w:history="1">
        <w:r w:rsidRPr="00086AEA">
          <w:rPr>
            <w:rFonts w:cstheme="minorHAnsi"/>
            <w:color w:val="0563C1" w:themeColor="hyperlink"/>
            <w:u w:val="single"/>
          </w:rPr>
          <w:t>https://www.sicklecellsociety.org/coronavirus-and-scd/</w:t>
        </w:r>
      </w:hyperlink>
      <w:r w:rsidRPr="00086AEA">
        <w:rPr>
          <w:rFonts w:cstheme="minorHAnsi"/>
        </w:rPr>
        <w:t xml:space="preserve"> ) and further resources will be added to the National Haemoglobinopathy Panel web pages as they are made available.</w:t>
      </w:r>
    </w:p>
    <w:p w14:paraId="3EB9159A" w14:textId="579AED96" w:rsidR="00E53FCD" w:rsidRDefault="00E53FCD"/>
    <w:p w14:paraId="3ED14AFC" w14:textId="5142DCCF" w:rsidR="00086AEA" w:rsidRPr="00B9262D" w:rsidRDefault="00086AEA">
      <w:r>
        <w:t xml:space="preserve">Haemoglobinopathy Co-ordinating Centres </w:t>
      </w:r>
      <w:r w:rsidR="008A3435">
        <w:t>28</w:t>
      </w:r>
      <w:r>
        <w:t>.08.2020</w:t>
      </w:r>
    </w:p>
    <w:sectPr w:rsidR="00086AEA" w:rsidRPr="00B9262D" w:rsidSect="00A93C4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5F117" w14:textId="77777777" w:rsidR="00E31A9D" w:rsidRDefault="00E31A9D" w:rsidP="00DF5DB0">
      <w:pPr>
        <w:spacing w:after="0" w:line="240" w:lineRule="auto"/>
      </w:pPr>
      <w:r>
        <w:separator/>
      </w:r>
    </w:p>
  </w:endnote>
  <w:endnote w:type="continuationSeparator" w:id="0">
    <w:p w14:paraId="1CAC707A" w14:textId="77777777" w:rsidR="00E31A9D" w:rsidRDefault="00E31A9D" w:rsidP="00DF5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5D92A" w14:textId="77777777" w:rsidR="008A3435" w:rsidRDefault="008A34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C5320" w14:textId="77777777" w:rsidR="008A3435" w:rsidRDefault="008A34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3DAE1" w14:textId="77777777" w:rsidR="008A3435" w:rsidRDefault="008A3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DD6B5" w14:textId="77777777" w:rsidR="00E31A9D" w:rsidRDefault="00E31A9D" w:rsidP="00DF5DB0">
      <w:pPr>
        <w:spacing w:after="0" w:line="240" w:lineRule="auto"/>
      </w:pPr>
      <w:r>
        <w:separator/>
      </w:r>
    </w:p>
  </w:footnote>
  <w:footnote w:type="continuationSeparator" w:id="0">
    <w:p w14:paraId="2C67FD05" w14:textId="77777777" w:rsidR="00E31A9D" w:rsidRDefault="00E31A9D" w:rsidP="00DF5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32059" w14:textId="309216E5" w:rsidR="00D15FB4" w:rsidRPr="00A6684A" w:rsidRDefault="00D15FB4" w:rsidP="00D15FB4">
    <w:pPr>
      <w:pStyle w:val="Header"/>
      <w:rPr>
        <w:b/>
      </w:rPr>
    </w:pPr>
    <w:r w:rsidRPr="00A6684A">
      <w:rPr>
        <w:b/>
      </w:rPr>
      <w:t xml:space="preserve">Haemoglobinopathy HCCs </w:t>
    </w:r>
    <w:r>
      <w:rPr>
        <w:b/>
      </w:rPr>
      <w:t>advic</w:t>
    </w:r>
    <w:r w:rsidR="008A3435">
      <w:rPr>
        <w:b/>
      </w:rPr>
      <w:t>e on risk assessment COVID-19 28</w:t>
    </w:r>
    <w:r>
      <w:rPr>
        <w:b/>
      </w:rPr>
      <w:t xml:space="preserve">.08.20 </w:t>
    </w:r>
    <w:r w:rsidRPr="00A6684A">
      <w:rPr>
        <w:b/>
      </w:rPr>
      <w:ptab w:relativeTo="margin" w:alignment="right" w:leader="none"/>
    </w:r>
  </w:p>
  <w:p w14:paraId="471E3B6A" w14:textId="77777777" w:rsidR="00134CBC" w:rsidRDefault="00134CBC" w:rsidP="00134CBC">
    <w:pPr>
      <w:pStyle w:val="Header"/>
    </w:pPr>
  </w:p>
  <w:p w14:paraId="4CFE0FCC" w14:textId="77777777" w:rsidR="00E523EE" w:rsidRPr="00134CBC" w:rsidRDefault="00E523EE" w:rsidP="00134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24FCA" w14:textId="77777777" w:rsidR="00E523EE" w:rsidRDefault="00E523EE">
    <w:pPr>
      <w:pStyle w:val="Header"/>
    </w:pPr>
    <w:r w:rsidRPr="00A6684A">
      <w:rPr>
        <w:noProof/>
        <w:lang w:eastAsia="en-GB"/>
      </w:rPr>
      <w:drawing>
        <wp:inline distT="0" distB="0" distL="0" distR="0" wp14:anchorId="4310B69F" wp14:editId="733AD663">
          <wp:extent cx="1990725" cy="971744"/>
          <wp:effectExtent l="0" t="0" r="0" b="0"/>
          <wp:docPr id="1" name="Picture 1" descr="C:\Users\binusa\AppData\Local\Microsoft\Windows\INetCache\Content.Outlook\44DA728S\NHP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nusa\AppData\Local\Microsoft\Windows\INetCache\Content.Outlook\44DA728S\NHP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6057" cy="974347"/>
                  </a:xfrm>
                  <a:prstGeom prst="rect">
                    <a:avLst/>
                  </a:prstGeom>
                  <a:noFill/>
                  <a:ln>
                    <a:noFill/>
                  </a:ln>
                </pic:spPr>
              </pic:pic>
            </a:graphicData>
          </a:graphic>
        </wp:inline>
      </w:drawing>
    </w:r>
  </w:p>
  <w:p w14:paraId="452BBE5E" w14:textId="77777777" w:rsidR="00E523EE" w:rsidRDefault="00E523EE">
    <w:pPr>
      <w:pStyle w:val="Header"/>
    </w:pPr>
  </w:p>
  <w:p w14:paraId="3A32E8A7" w14:textId="77777777" w:rsidR="00E523EE" w:rsidRDefault="00E523EE">
    <w:pPr>
      <w:pStyle w:val="Header"/>
    </w:pPr>
  </w:p>
  <w:p w14:paraId="4E14139A" w14:textId="239C67A0" w:rsidR="00E523EE" w:rsidRPr="00A6684A" w:rsidRDefault="00E523EE">
    <w:pPr>
      <w:pStyle w:val="Header"/>
      <w:rPr>
        <w:b/>
      </w:rPr>
    </w:pPr>
    <w:r w:rsidRPr="00A6684A">
      <w:rPr>
        <w:b/>
      </w:rPr>
      <w:t xml:space="preserve">Haemoglobinopathy HCCs </w:t>
    </w:r>
    <w:r w:rsidR="000456A9">
      <w:rPr>
        <w:b/>
      </w:rPr>
      <w:t xml:space="preserve">advice on </w:t>
    </w:r>
    <w:r w:rsidR="00D15FB4">
      <w:rPr>
        <w:b/>
      </w:rPr>
      <w:t>risk assessment</w:t>
    </w:r>
    <w:r w:rsidR="00C61C70">
      <w:rPr>
        <w:b/>
      </w:rPr>
      <w:t xml:space="preserve"> COVID-19 </w:t>
    </w:r>
    <w:r w:rsidR="008A3435">
      <w:rPr>
        <w:b/>
      </w:rPr>
      <w:t>28</w:t>
    </w:r>
    <w:r w:rsidR="00D15FB4">
      <w:rPr>
        <w:b/>
      </w:rPr>
      <w:t xml:space="preserve">.08.20 </w:t>
    </w:r>
    <w:r w:rsidRPr="00A6684A">
      <w:rPr>
        <w:b/>
      </w:rPr>
      <w:ptab w:relativeTo="margin" w:alignment="right" w:leader="none"/>
    </w:r>
  </w:p>
  <w:p w14:paraId="7340D8FA" w14:textId="77777777" w:rsidR="00E523EE" w:rsidRDefault="00E523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B7A42" w14:textId="77777777" w:rsidR="008A3435" w:rsidRDefault="008A3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75B9"/>
    <w:multiLevelType w:val="hybridMultilevel"/>
    <w:tmpl w:val="D92AC420"/>
    <w:lvl w:ilvl="0" w:tplc="08090015">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592289"/>
    <w:multiLevelType w:val="multilevel"/>
    <w:tmpl w:val="17767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005D1"/>
    <w:multiLevelType w:val="hybridMultilevel"/>
    <w:tmpl w:val="C9461828"/>
    <w:lvl w:ilvl="0" w:tplc="A3CEC2E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D638E"/>
    <w:multiLevelType w:val="hybridMultilevel"/>
    <w:tmpl w:val="F636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D4DBA"/>
    <w:multiLevelType w:val="multilevel"/>
    <w:tmpl w:val="3948DE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1E5AB0"/>
    <w:multiLevelType w:val="hybridMultilevel"/>
    <w:tmpl w:val="38964C3A"/>
    <w:lvl w:ilvl="0" w:tplc="9B1CF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A2545A"/>
    <w:multiLevelType w:val="hybridMultilevel"/>
    <w:tmpl w:val="0BFE4E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7DA2E2C"/>
    <w:multiLevelType w:val="hybridMultilevel"/>
    <w:tmpl w:val="36BE7F58"/>
    <w:lvl w:ilvl="0" w:tplc="0809001B">
      <w:start w:val="1"/>
      <w:numFmt w:val="lowerRoman"/>
      <w:lvlText w:val="%1."/>
      <w:lvlJc w:val="righ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8" w15:restartNumberingAfterBreak="0">
    <w:nsid w:val="18035BE0"/>
    <w:multiLevelType w:val="hybridMultilevel"/>
    <w:tmpl w:val="67C67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055B5"/>
    <w:multiLevelType w:val="hybridMultilevel"/>
    <w:tmpl w:val="8B1C1DD0"/>
    <w:lvl w:ilvl="0" w:tplc="AB0446CC">
      <w:start w:val="1"/>
      <w:numFmt w:val="lowerLetter"/>
      <w:lvlText w:val="%1)"/>
      <w:lvlJc w:val="left"/>
      <w:pPr>
        <w:ind w:left="720" w:hanging="360"/>
      </w:pPr>
      <w:rPr>
        <w:rFonts w:asciiTheme="minorHAnsi" w:hAnsiTheme="minorHAnsi"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C15412"/>
    <w:multiLevelType w:val="hybridMultilevel"/>
    <w:tmpl w:val="849A7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115393"/>
    <w:multiLevelType w:val="hybridMultilevel"/>
    <w:tmpl w:val="E926171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BF516B"/>
    <w:multiLevelType w:val="hybridMultilevel"/>
    <w:tmpl w:val="87763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776619"/>
    <w:multiLevelType w:val="hybridMultilevel"/>
    <w:tmpl w:val="88F8F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875BE4"/>
    <w:multiLevelType w:val="hybridMultilevel"/>
    <w:tmpl w:val="15023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955E5"/>
    <w:multiLevelType w:val="hybridMultilevel"/>
    <w:tmpl w:val="540CB48A"/>
    <w:lvl w:ilvl="0" w:tplc="7B82C6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3BA1CFD"/>
    <w:multiLevelType w:val="hybridMultilevel"/>
    <w:tmpl w:val="B3D4545C"/>
    <w:lvl w:ilvl="0" w:tplc="0809001B">
      <w:start w:val="1"/>
      <w:numFmt w:val="lowerRoman"/>
      <w:lvlText w:val="%1."/>
      <w:lvlJc w:val="right"/>
      <w:pPr>
        <w:ind w:left="3060" w:hanging="360"/>
      </w:pPr>
    </w:lvl>
    <w:lvl w:ilvl="1" w:tplc="08090019">
      <w:start w:val="1"/>
      <w:numFmt w:val="lowerLetter"/>
      <w:lvlText w:val="%2."/>
      <w:lvlJc w:val="left"/>
      <w:pPr>
        <w:ind w:left="3780" w:hanging="360"/>
      </w:pPr>
    </w:lvl>
    <w:lvl w:ilvl="2" w:tplc="0809001B">
      <w:start w:val="1"/>
      <w:numFmt w:val="lowerRoman"/>
      <w:lvlText w:val="%3."/>
      <w:lvlJc w:val="right"/>
      <w:pPr>
        <w:ind w:left="4500" w:hanging="180"/>
      </w:pPr>
    </w:lvl>
    <w:lvl w:ilvl="3" w:tplc="0809000F">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17" w15:restartNumberingAfterBreak="0">
    <w:nsid w:val="35DF5F2B"/>
    <w:multiLevelType w:val="hybridMultilevel"/>
    <w:tmpl w:val="AB7660BA"/>
    <w:lvl w:ilvl="0" w:tplc="44B664B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5C5646"/>
    <w:multiLevelType w:val="hybridMultilevel"/>
    <w:tmpl w:val="E0B8AF2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A83FF4"/>
    <w:multiLevelType w:val="hybridMultilevel"/>
    <w:tmpl w:val="305A43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BE3872"/>
    <w:multiLevelType w:val="hybridMultilevel"/>
    <w:tmpl w:val="72988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E7420A"/>
    <w:multiLevelType w:val="hybridMultilevel"/>
    <w:tmpl w:val="9DD8C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4F7496"/>
    <w:multiLevelType w:val="hybridMultilevel"/>
    <w:tmpl w:val="8DCC2F4C"/>
    <w:lvl w:ilvl="0" w:tplc="23BE860A">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A71F42"/>
    <w:multiLevelType w:val="hybridMultilevel"/>
    <w:tmpl w:val="E31C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F7509A"/>
    <w:multiLevelType w:val="hybridMultilevel"/>
    <w:tmpl w:val="CF02084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2537FF"/>
    <w:multiLevelType w:val="hybridMultilevel"/>
    <w:tmpl w:val="1FB01A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772B62"/>
    <w:multiLevelType w:val="hybridMultilevel"/>
    <w:tmpl w:val="19CE6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2016AD"/>
    <w:multiLevelType w:val="hybridMultilevel"/>
    <w:tmpl w:val="5546F1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24483E"/>
    <w:multiLevelType w:val="hybridMultilevel"/>
    <w:tmpl w:val="69D6C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4B4329"/>
    <w:multiLevelType w:val="hybridMultilevel"/>
    <w:tmpl w:val="216C8B00"/>
    <w:lvl w:ilvl="0" w:tplc="44B664B0">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4B4A72"/>
    <w:multiLevelType w:val="hybridMultilevel"/>
    <w:tmpl w:val="8B20F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E61045"/>
    <w:multiLevelType w:val="hybridMultilevel"/>
    <w:tmpl w:val="929E29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8C1C48"/>
    <w:multiLevelType w:val="hybridMultilevel"/>
    <w:tmpl w:val="3BAEF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2357BD"/>
    <w:multiLevelType w:val="multilevel"/>
    <w:tmpl w:val="5F22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B20515"/>
    <w:multiLevelType w:val="hybridMultilevel"/>
    <w:tmpl w:val="4D6A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D04EF2"/>
    <w:multiLevelType w:val="hybridMultilevel"/>
    <w:tmpl w:val="27288C00"/>
    <w:lvl w:ilvl="0" w:tplc="44B664B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E93017"/>
    <w:multiLevelType w:val="hybridMultilevel"/>
    <w:tmpl w:val="2E388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EE2C3A"/>
    <w:multiLevelType w:val="hybridMultilevel"/>
    <w:tmpl w:val="C3D0934A"/>
    <w:lvl w:ilvl="0" w:tplc="08090017">
      <w:start w:val="1"/>
      <w:numFmt w:val="lowerLetter"/>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38" w15:restartNumberingAfterBreak="0">
    <w:nsid w:val="69D301C4"/>
    <w:multiLevelType w:val="hybridMultilevel"/>
    <w:tmpl w:val="B1B60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0C5BFE"/>
    <w:multiLevelType w:val="hybridMultilevel"/>
    <w:tmpl w:val="32D6BA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F53D46"/>
    <w:multiLevelType w:val="hybridMultilevel"/>
    <w:tmpl w:val="ED403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6463B8"/>
    <w:multiLevelType w:val="hybridMultilevel"/>
    <w:tmpl w:val="B91260A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2" w15:restartNumberingAfterBreak="0">
    <w:nsid w:val="7E637D91"/>
    <w:multiLevelType w:val="hybridMultilevel"/>
    <w:tmpl w:val="DEDC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7"/>
  </w:num>
  <w:num w:numId="4">
    <w:abstractNumId w:val="4"/>
  </w:num>
  <w:num w:numId="5">
    <w:abstractNumId w:val="35"/>
  </w:num>
  <w:num w:numId="6">
    <w:abstractNumId w:val="41"/>
  </w:num>
  <w:num w:numId="7">
    <w:abstractNumId w:val="2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5"/>
  </w:num>
  <w:num w:numId="11">
    <w:abstractNumId w:val="2"/>
  </w:num>
  <w:num w:numId="12">
    <w:abstractNumId w:val="14"/>
  </w:num>
  <w:num w:numId="13">
    <w:abstractNumId w:val="39"/>
  </w:num>
  <w:num w:numId="14">
    <w:abstractNumId w:val="19"/>
  </w:num>
  <w:num w:numId="15">
    <w:abstractNumId w:val="36"/>
  </w:num>
  <w:num w:numId="16">
    <w:abstractNumId w:val="0"/>
  </w:num>
  <w:num w:numId="17">
    <w:abstractNumId w:val="32"/>
  </w:num>
  <w:num w:numId="18">
    <w:abstractNumId w:val="37"/>
  </w:num>
  <w:num w:numId="19">
    <w:abstractNumId w:val="7"/>
  </w:num>
  <w:num w:numId="20">
    <w:abstractNumId w:val="15"/>
  </w:num>
  <w:num w:numId="21">
    <w:abstractNumId w:val="24"/>
  </w:num>
  <w:num w:numId="22">
    <w:abstractNumId w:val="16"/>
  </w:num>
  <w:num w:numId="23">
    <w:abstractNumId w:val="27"/>
  </w:num>
  <w:num w:numId="24">
    <w:abstractNumId w:val="31"/>
  </w:num>
  <w:num w:numId="25">
    <w:abstractNumId w:val="33"/>
  </w:num>
  <w:num w:numId="26">
    <w:abstractNumId w:val="13"/>
  </w:num>
  <w:num w:numId="27">
    <w:abstractNumId w:val="1"/>
  </w:num>
  <w:num w:numId="28">
    <w:abstractNumId w:val="42"/>
  </w:num>
  <w:num w:numId="29">
    <w:abstractNumId w:val="34"/>
  </w:num>
  <w:num w:numId="30">
    <w:abstractNumId w:val="18"/>
  </w:num>
  <w:num w:numId="31">
    <w:abstractNumId w:val="11"/>
  </w:num>
  <w:num w:numId="32">
    <w:abstractNumId w:val="8"/>
  </w:num>
  <w:num w:numId="33">
    <w:abstractNumId w:val="26"/>
  </w:num>
  <w:num w:numId="34">
    <w:abstractNumId w:val="30"/>
  </w:num>
  <w:num w:numId="35">
    <w:abstractNumId w:val="10"/>
  </w:num>
  <w:num w:numId="36">
    <w:abstractNumId w:val="20"/>
  </w:num>
  <w:num w:numId="37">
    <w:abstractNumId w:val="23"/>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6"/>
  </w:num>
  <w:num w:numId="41">
    <w:abstractNumId w:val="28"/>
  </w:num>
  <w:num w:numId="42">
    <w:abstractNumId w:val="38"/>
  </w:num>
  <w:num w:numId="43">
    <w:abstractNumId w:val="21"/>
  </w:num>
  <w:num w:numId="44">
    <w:abstractNumId w:val="40"/>
  </w:num>
  <w:num w:numId="45">
    <w:abstractNumId w:val="1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5F5"/>
    <w:rsid w:val="000011E1"/>
    <w:rsid w:val="00001577"/>
    <w:rsid w:val="000233AC"/>
    <w:rsid w:val="00036F07"/>
    <w:rsid w:val="000443F9"/>
    <w:rsid w:val="000456A9"/>
    <w:rsid w:val="00064268"/>
    <w:rsid w:val="00086AEA"/>
    <w:rsid w:val="000A4A8F"/>
    <w:rsid w:val="000D18D7"/>
    <w:rsid w:val="000E195F"/>
    <w:rsid w:val="00111984"/>
    <w:rsid w:val="00125823"/>
    <w:rsid w:val="00134CBC"/>
    <w:rsid w:val="00155D3B"/>
    <w:rsid w:val="00156661"/>
    <w:rsid w:val="001724F3"/>
    <w:rsid w:val="00172612"/>
    <w:rsid w:val="001763F6"/>
    <w:rsid w:val="00180AA3"/>
    <w:rsid w:val="001A5BFB"/>
    <w:rsid w:val="001C6FFC"/>
    <w:rsid w:val="001F4867"/>
    <w:rsid w:val="002021E5"/>
    <w:rsid w:val="0022436A"/>
    <w:rsid w:val="00295827"/>
    <w:rsid w:val="002A77FB"/>
    <w:rsid w:val="002B3235"/>
    <w:rsid w:val="002B43AB"/>
    <w:rsid w:val="00312C8B"/>
    <w:rsid w:val="00312FF6"/>
    <w:rsid w:val="003163BE"/>
    <w:rsid w:val="00317F8D"/>
    <w:rsid w:val="00331E9C"/>
    <w:rsid w:val="003332AB"/>
    <w:rsid w:val="00341AC6"/>
    <w:rsid w:val="00360419"/>
    <w:rsid w:val="00365506"/>
    <w:rsid w:val="00384CF5"/>
    <w:rsid w:val="00392A22"/>
    <w:rsid w:val="00393D72"/>
    <w:rsid w:val="003A716F"/>
    <w:rsid w:val="003C65F2"/>
    <w:rsid w:val="003C661C"/>
    <w:rsid w:val="00416DD8"/>
    <w:rsid w:val="004211AD"/>
    <w:rsid w:val="004545E2"/>
    <w:rsid w:val="004645F5"/>
    <w:rsid w:val="00484117"/>
    <w:rsid w:val="004938F2"/>
    <w:rsid w:val="00494DE8"/>
    <w:rsid w:val="004D3986"/>
    <w:rsid w:val="004D48A6"/>
    <w:rsid w:val="004D6ED7"/>
    <w:rsid w:val="004E60FB"/>
    <w:rsid w:val="004F780D"/>
    <w:rsid w:val="00536A48"/>
    <w:rsid w:val="00550DE6"/>
    <w:rsid w:val="00562E0F"/>
    <w:rsid w:val="00571104"/>
    <w:rsid w:val="00583AA2"/>
    <w:rsid w:val="00592984"/>
    <w:rsid w:val="005B3A7D"/>
    <w:rsid w:val="005C2EB4"/>
    <w:rsid w:val="005D07CF"/>
    <w:rsid w:val="00607F74"/>
    <w:rsid w:val="00622288"/>
    <w:rsid w:val="00626F49"/>
    <w:rsid w:val="0065069A"/>
    <w:rsid w:val="006623AD"/>
    <w:rsid w:val="006865F7"/>
    <w:rsid w:val="006F1CDB"/>
    <w:rsid w:val="0070403C"/>
    <w:rsid w:val="0070786E"/>
    <w:rsid w:val="00713FBF"/>
    <w:rsid w:val="00725993"/>
    <w:rsid w:val="00731B9E"/>
    <w:rsid w:val="00736443"/>
    <w:rsid w:val="007805FA"/>
    <w:rsid w:val="00782F8A"/>
    <w:rsid w:val="007A44D4"/>
    <w:rsid w:val="007B50F1"/>
    <w:rsid w:val="007C3CDC"/>
    <w:rsid w:val="007D2406"/>
    <w:rsid w:val="0080013A"/>
    <w:rsid w:val="0081058A"/>
    <w:rsid w:val="00813696"/>
    <w:rsid w:val="00823C7C"/>
    <w:rsid w:val="008564CE"/>
    <w:rsid w:val="00883B0C"/>
    <w:rsid w:val="0088558A"/>
    <w:rsid w:val="008A3435"/>
    <w:rsid w:val="008B4AD4"/>
    <w:rsid w:val="008C4A80"/>
    <w:rsid w:val="008D0713"/>
    <w:rsid w:val="008D3DE0"/>
    <w:rsid w:val="008E4657"/>
    <w:rsid w:val="008F4208"/>
    <w:rsid w:val="00904EFD"/>
    <w:rsid w:val="00941754"/>
    <w:rsid w:val="00945489"/>
    <w:rsid w:val="00952E6E"/>
    <w:rsid w:val="0095330B"/>
    <w:rsid w:val="0095552A"/>
    <w:rsid w:val="009663E6"/>
    <w:rsid w:val="009670A1"/>
    <w:rsid w:val="00980A03"/>
    <w:rsid w:val="009A43F1"/>
    <w:rsid w:val="009B1D06"/>
    <w:rsid w:val="009C2938"/>
    <w:rsid w:val="009C4A23"/>
    <w:rsid w:val="00A3099C"/>
    <w:rsid w:val="00A45472"/>
    <w:rsid w:val="00A6684A"/>
    <w:rsid w:val="00A93C4C"/>
    <w:rsid w:val="00AB4FE1"/>
    <w:rsid w:val="00AD4F3F"/>
    <w:rsid w:val="00AD7266"/>
    <w:rsid w:val="00B036E1"/>
    <w:rsid w:val="00B13D67"/>
    <w:rsid w:val="00B2567B"/>
    <w:rsid w:val="00B37F07"/>
    <w:rsid w:val="00B41765"/>
    <w:rsid w:val="00B62B9E"/>
    <w:rsid w:val="00B840BF"/>
    <w:rsid w:val="00B91544"/>
    <w:rsid w:val="00B9262D"/>
    <w:rsid w:val="00BB0C8F"/>
    <w:rsid w:val="00BD40FE"/>
    <w:rsid w:val="00BE4334"/>
    <w:rsid w:val="00BF7E0B"/>
    <w:rsid w:val="00C065FC"/>
    <w:rsid w:val="00C21327"/>
    <w:rsid w:val="00C252C6"/>
    <w:rsid w:val="00C5397B"/>
    <w:rsid w:val="00C53F37"/>
    <w:rsid w:val="00C61C70"/>
    <w:rsid w:val="00C7735B"/>
    <w:rsid w:val="00C83083"/>
    <w:rsid w:val="00C84364"/>
    <w:rsid w:val="00C90446"/>
    <w:rsid w:val="00CA5146"/>
    <w:rsid w:val="00CB620E"/>
    <w:rsid w:val="00CB6CF5"/>
    <w:rsid w:val="00CE02DC"/>
    <w:rsid w:val="00CE5EAA"/>
    <w:rsid w:val="00D004E0"/>
    <w:rsid w:val="00D15FB4"/>
    <w:rsid w:val="00D17BBD"/>
    <w:rsid w:val="00D30D62"/>
    <w:rsid w:val="00D31033"/>
    <w:rsid w:val="00D41C97"/>
    <w:rsid w:val="00D679C6"/>
    <w:rsid w:val="00DA5F00"/>
    <w:rsid w:val="00DB147C"/>
    <w:rsid w:val="00DB7186"/>
    <w:rsid w:val="00DC0D8E"/>
    <w:rsid w:val="00DC3938"/>
    <w:rsid w:val="00DD13F6"/>
    <w:rsid w:val="00DF57E7"/>
    <w:rsid w:val="00DF5DB0"/>
    <w:rsid w:val="00E15957"/>
    <w:rsid w:val="00E31A9D"/>
    <w:rsid w:val="00E37F0C"/>
    <w:rsid w:val="00E51065"/>
    <w:rsid w:val="00E523EE"/>
    <w:rsid w:val="00E53327"/>
    <w:rsid w:val="00E53BF3"/>
    <w:rsid w:val="00E53FCD"/>
    <w:rsid w:val="00E57334"/>
    <w:rsid w:val="00E576F1"/>
    <w:rsid w:val="00E62E78"/>
    <w:rsid w:val="00E66818"/>
    <w:rsid w:val="00EC2B60"/>
    <w:rsid w:val="00EC48BE"/>
    <w:rsid w:val="00ED27EB"/>
    <w:rsid w:val="00F14B0F"/>
    <w:rsid w:val="00F15264"/>
    <w:rsid w:val="00F358AB"/>
    <w:rsid w:val="00F41D4E"/>
    <w:rsid w:val="00F52C4A"/>
    <w:rsid w:val="00F5378D"/>
    <w:rsid w:val="00F64951"/>
    <w:rsid w:val="00F90557"/>
    <w:rsid w:val="00F974D1"/>
    <w:rsid w:val="00FA7971"/>
    <w:rsid w:val="00FB1AA3"/>
    <w:rsid w:val="00FB3571"/>
    <w:rsid w:val="00FD15BA"/>
    <w:rsid w:val="00FD60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0AB32"/>
  <w15:docId w15:val="{BC83A97C-493B-4EDC-AB10-E617971D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5827"/>
    <w:pPr>
      <w:keepNext/>
      <w:spacing w:after="0" w:line="276" w:lineRule="auto"/>
      <w:outlineLvl w:val="0"/>
    </w:pPr>
    <w:rPr>
      <w:rFonts w:cs="Times New Roman"/>
      <w:i/>
    </w:rPr>
  </w:style>
  <w:style w:type="paragraph" w:styleId="Heading2">
    <w:name w:val="heading 2"/>
    <w:basedOn w:val="Normal"/>
    <w:next w:val="Normal"/>
    <w:link w:val="Heading2Char"/>
    <w:uiPriority w:val="9"/>
    <w:unhideWhenUsed/>
    <w:qFormat/>
    <w:rsid w:val="00F41D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DB718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DB0"/>
  </w:style>
  <w:style w:type="paragraph" w:styleId="Footer">
    <w:name w:val="footer"/>
    <w:basedOn w:val="Normal"/>
    <w:link w:val="FooterChar"/>
    <w:uiPriority w:val="99"/>
    <w:unhideWhenUsed/>
    <w:rsid w:val="00DF5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DB0"/>
  </w:style>
  <w:style w:type="character" w:styleId="CommentReference">
    <w:name w:val="annotation reference"/>
    <w:basedOn w:val="DefaultParagraphFont"/>
    <w:uiPriority w:val="99"/>
    <w:semiHidden/>
    <w:unhideWhenUsed/>
    <w:rsid w:val="00F974D1"/>
    <w:rPr>
      <w:sz w:val="16"/>
      <w:szCs w:val="16"/>
    </w:rPr>
  </w:style>
  <w:style w:type="paragraph" w:styleId="CommentText">
    <w:name w:val="annotation text"/>
    <w:basedOn w:val="Normal"/>
    <w:link w:val="CommentTextChar"/>
    <w:uiPriority w:val="99"/>
    <w:semiHidden/>
    <w:unhideWhenUsed/>
    <w:rsid w:val="00F974D1"/>
    <w:pPr>
      <w:spacing w:line="240" w:lineRule="auto"/>
    </w:pPr>
    <w:rPr>
      <w:sz w:val="20"/>
      <w:szCs w:val="20"/>
    </w:rPr>
  </w:style>
  <w:style w:type="character" w:customStyle="1" w:styleId="CommentTextChar">
    <w:name w:val="Comment Text Char"/>
    <w:basedOn w:val="DefaultParagraphFont"/>
    <w:link w:val="CommentText"/>
    <w:uiPriority w:val="99"/>
    <w:semiHidden/>
    <w:rsid w:val="00F974D1"/>
    <w:rPr>
      <w:sz w:val="20"/>
      <w:szCs w:val="20"/>
    </w:rPr>
  </w:style>
  <w:style w:type="paragraph" w:styleId="CommentSubject">
    <w:name w:val="annotation subject"/>
    <w:basedOn w:val="CommentText"/>
    <w:next w:val="CommentText"/>
    <w:link w:val="CommentSubjectChar"/>
    <w:uiPriority w:val="99"/>
    <w:semiHidden/>
    <w:unhideWhenUsed/>
    <w:rsid w:val="00F974D1"/>
    <w:rPr>
      <w:b/>
      <w:bCs/>
    </w:rPr>
  </w:style>
  <w:style w:type="character" w:customStyle="1" w:styleId="CommentSubjectChar">
    <w:name w:val="Comment Subject Char"/>
    <w:basedOn w:val="CommentTextChar"/>
    <w:link w:val="CommentSubject"/>
    <w:uiPriority w:val="99"/>
    <w:semiHidden/>
    <w:rsid w:val="00F974D1"/>
    <w:rPr>
      <w:b/>
      <w:bCs/>
      <w:sz w:val="20"/>
      <w:szCs w:val="20"/>
    </w:rPr>
  </w:style>
  <w:style w:type="paragraph" w:styleId="BalloonText">
    <w:name w:val="Balloon Text"/>
    <w:basedOn w:val="Normal"/>
    <w:link w:val="BalloonTextChar"/>
    <w:uiPriority w:val="99"/>
    <w:semiHidden/>
    <w:unhideWhenUsed/>
    <w:rsid w:val="00F97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4D1"/>
    <w:rPr>
      <w:rFonts w:ascii="Segoe UI" w:hAnsi="Segoe UI" w:cs="Segoe UI"/>
      <w:sz w:val="18"/>
      <w:szCs w:val="18"/>
    </w:rPr>
  </w:style>
  <w:style w:type="character" w:styleId="Hyperlink">
    <w:name w:val="Hyperlink"/>
    <w:basedOn w:val="DefaultParagraphFont"/>
    <w:uiPriority w:val="99"/>
    <w:unhideWhenUsed/>
    <w:rsid w:val="00904EFD"/>
    <w:rPr>
      <w:color w:val="0563C1" w:themeColor="hyperlink"/>
      <w:u w:val="single"/>
    </w:rPr>
  </w:style>
  <w:style w:type="paragraph" w:styleId="ListParagraph">
    <w:name w:val="List Paragraph"/>
    <w:basedOn w:val="Normal"/>
    <w:uiPriority w:val="34"/>
    <w:qFormat/>
    <w:rsid w:val="00562E0F"/>
    <w:pPr>
      <w:spacing w:after="0" w:line="240" w:lineRule="auto"/>
      <w:ind w:left="720"/>
      <w:contextualSpacing/>
    </w:pPr>
    <w:rPr>
      <w:sz w:val="24"/>
      <w:szCs w:val="24"/>
    </w:rPr>
  </w:style>
  <w:style w:type="paragraph" w:styleId="NoSpacing">
    <w:name w:val="No Spacing"/>
    <w:link w:val="NoSpacingChar"/>
    <w:qFormat/>
    <w:rsid w:val="00312FF6"/>
    <w:pPr>
      <w:spacing w:after="0" w:line="240" w:lineRule="auto"/>
    </w:pPr>
    <w:rPr>
      <w:rFonts w:ascii="PMingLiU" w:eastAsiaTheme="minorEastAsia" w:hAnsi="PMingLiU"/>
      <w:lang w:val="en-US"/>
    </w:rPr>
  </w:style>
  <w:style w:type="character" w:customStyle="1" w:styleId="NoSpacingChar">
    <w:name w:val="No Spacing Char"/>
    <w:basedOn w:val="DefaultParagraphFont"/>
    <w:link w:val="NoSpacing"/>
    <w:rsid w:val="00312FF6"/>
    <w:rPr>
      <w:rFonts w:ascii="PMingLiU" w:eastAsiaTheme="minorEastAsia" w:hAnsi="PMingLiU"/>
      <w:lang w:val="en-US"/>
    </w:rPr>
  </w:style>
  <w:style w:type="character" w:styleId="FollowedHyperlink">
    <w:name w:val="FollowedHyperlink"/>
    <w:basedOn w:val="DefaultParagraphFont"/>
    <w:uiPriority w:val="99"/>
    <w:semiHidden/>
    <w:unhideWhenUsed/>
    <w:rsid w:val="00FB1AA3"/>
    <w:rPr>
      <w:color w:val="954F72" w:themeColor="followedHyperlink"/>
      <w:u w:val="single"/>
    </w:rPr>
  </w:style>
  <w:style w:type="paragraph" w:styleId="NormalWeb">
    <w:name w:val="Normal (Web)"/>
    <w:basedOn w:val="Normal"/>
    <w:uiPriority w:val="99"/>
    <w:unhideWhenUsed/>
    <w:rsid w:val="007B50F1"/>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3163BE"/>
    <w:pPr>
      <w:spacing w:after="0" w:line="240" w:lineRule="auto"/>
    </w:pPr>
    <w:rPr>
      <w:rFonts w:ascii="Arial" w:hAnsi="Arial"/>
      <w:color w:val="231F20"/>
      <w:sz w:val="20"/>
      <w:szCs w:val="20"/>
    </w:rPr>
  </w:style>
  <w:style w:type="character" w:customStyle="1" w:styleId="FootnoteTextChar">
    <w:name w:val="Footnote Text Char"/>
    <w:basedOn w:val="DefaultParagraphFont"/>
    <w:link w:val="FootnoteText"/>
    <w:uiPriority w:val="99"/>
    <w:semiHidden/>
    <w:rsid w:val="003163BE"/>
    <w:rPr>
      <w:rFonts w:ascii="Arial" w:hAnsi="Arial"/>
      <w:color w:val="231F20"/>
      <w:sz w:val="20"/>
      <w:szCs w:val="20"/>
    </w:rPr>
  </w:style>
  <w:style w:type="paragraph" w:styleId="BodyText2">
    <w:name w:val="Body Text 2"/>
    <w:basedOn w:val="BodyText"/>
    <w:link w:val="BodyText2Char"/>
    <w:qFormat/>
    <w:rsid w:val="000233AC"/>
    <w:pPr>
      <w:spacing w:after="280" w:line="360" w:lineRule="atLeast"/>
    </w:pPr>
    <w:rPr>
      <w:rFonts w:ascii="Arial" w:hAnsi="Arial"/>
      <w:color w:val="231F20"/>
      <w:sz w:val="24"/>
      <w:szCs w:val="24"/>
    </w:rPr>
  </w:style>
  <w:style w:type="character" w:customStyle="1" w:styleId="BodyText2Char">
    <w:name w:val="Body Text 2 Char"/>
    <w:basedOn w:val="DefaultParagraphFont"/>
    <w:link w:val="BodyText2"/>
    <w:rsid w:val="000233AC"/>
    <w:rPr>
      <w:rFonts w:ascii="Arial" w:hAnsi="Arial"/>
      <w:color w:val="231F20"/>
      <w:sz w:val="24"/>
      <w:szCs w:val="24"/>
    </w:rPr>
  </w:style>
  <w:style w:type="paragraph" w:styleId="BodyText">
    <w:name w:val="Body Text"/>
    <w:basedOn w:val="Normal"/>
    <w:link w:val="BodyTextChar"/>
    <w:uiPriority w:val="99"/>
    <w:semiHidden/>
    <w:unhideWhenUsed/>
    <w:rsid w:val="000233AC"/>
    <w:pPr>
      <w:spacing w:after="120"/>
    </w:pPr>
  </w:style>
  <w:style w:type="character" w:customStyle="1" w:styleId="BodyTextChar">
    <w:name w:val="Body Text Char"/>
    <w:basedOn w:val="DefaultParagraphFont"/>
    <w:link w:val="BodyText"/>
    <w:uiPriority w:val="99"/>
    <w:semiHidden/>
    <w:rsid w:val="000233AC"/>
  </w:style>
  <w:style w:type="character" w:customStyle="1" w:styleId="Heading1Char">
    <w:name w:val="Heading 1 Char"/>
    <w:basedOn w:val="DefaultParagraphFont"/>
    <w:link w:val="Heading1"/>
    <w:uiPriority w:val="9"/>
    <w:rsid w:val="00295827"/>
    <w:rPr>
      <w:rFonts w:cs="Times New Roman"/>
      <w:i/>
    </w:rPr>
  </w:style>
  <w:style w:type="character" w:customStyle="1" w:styleId="Heading4Char">
    <w:name w:val="Heading 4 Char"/>
    <w:basedOn w:val="DefaultParagraphFont"/>
    <w:link w:val="Heading4"/>
    <w:uiPriority w:val="9"/>
    <w:semiHidden/>
    <w:rsid w:val="00DB7186"/>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FB3571"/>
    <w:rPr>
      <w:b/>
      <w:bCs/>
    </w:rPr>
  </w:style>
  <w:style w:type="character" w:customStyle="1" w:styleId="Heading2Char">
    <w:name w:val="Heading 2 Char"/>
    <w:basedOn w:val="DefaultParagraphFont"/>
    <w:link w:val="Heading2"/>
    <w:uiPriority w:val="9"/>
    <w:rsid w:val="00F41D4E"/>
    <w:rPr>
      <w:rFonts w:asciiTheme="majorHAnsi" w:eastAsiaTheme="majorEastAsia" w:hAnsiTheme="majorHAnsi" w:cstheme="majorBidi"/>
      <w:color w:val="2E74B5" w:themeColor="accent1" w:themeShade="BF"/>
      <w:sz w:val="26"/>
      <w:szCs w:val="26"/>
    </w:rPr>
  </w:style>
  <w:style w:type="paragraph" w:styleId="IntenseQuote">
    <w:name w:val="Intense Quote"/>
    <w:basedOn w:val="Normal"/>
    <w:next w:val="Normal"/>
    <w:link w:val="IntenseQuoteChar"/>
    <w:uiPriority w:val="30"/>
    <w:qFormat/>
    <w:rsid w:val="00F41D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41D4E"/>
    <w:rPr>
      <w:i/>
      <w:iCs/>
      <w:color w:val="5B9BD5" w:themeColor="accent1"/>
    </w:rPr>
  </w:style>
  <w:style w:type="table" w:styleId="TableGrid">
    <w:name w:val="Table Grid"/>
    <w:basedOn w:val="TableNormal"/>
    <w:uiPriority w:val="39"/>
    <w:rsid w:val="00B84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E46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4657"/>
    <w:rPr>
      <w:rFonts w:asciiTheme="majorHAnsi" w:eastAsiaTheme="majorEastAsia" w:hAnsiTheme="majorHAnsi" w:cstheme="majorBidi"/>
      <w:spacing w:val="-10"/>
      <w:kern w:val="28"/>
      <w:sz w:val="56"/>
      <w:szCs w:val="56"/>
    </w:rPr>
  </w:style>
  <w:style w:type="paragraph" w:styleId="PlainText">
    <w:name w:val="Plain Text"/>
    <w:basedOn w:val="Normal"/>
    <w:link w:val="PlainTextChar"/>
    <w:uiPriority w:val="99"/>
    <w:semiHidden/>
    <w:unhideWhenUsed/>
    <w:rsid w:val="00D15FB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15FB4"/>
    <w:rPr>
      <w:rFonts w:ascii="Calibri" w:hAnsi="Calibri"/>
      <w:szCs w:val="21"/>
    </w:rPr>
  </w:style>
  <w:style w:type="table" w:customStyle="1" w:styleId="TableGrid1">
    <w:name w:val="Table Grid1"/>
    <w:basedOn w:val="TableNormal"/>
    <w:next w:val="TableGrid"/>
    <w:uiPriority w:val="39"/>
    <w:rsid w:val="00725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BB0C8F"/>
    <w:pPr>
      <w:spacing w:after="0" w:line="240" w:lineRule="auto"/>
    </w:pPr>
    <w:rPr>
      <w:rFonts w:ascii="Calibri" w:hAnsi="Calibri" w:cs="Calibri"/>
      <w:lang w:eastAsia="en-GB"/>
    </w:rPr>
  </w:style>
  <w:style w:type="paragraph" w:customStyle="1" w:styleId="xmsoplaintext">
    <w:name w:val="x_msoplaintext"/>
    <w:basedOn w:val="Normal"/>
    <w:uiPriority w:val="99"/>
    <w:rsid w:val="00BB0C8F"/>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92774">
      <w:bodyDiv w:val="1"/>
      <w:marLeft w:val="0"/>
      <w:marRight w:val="0"/>
      <w:marTop w:val="0"/>
      <w:marBottom w:val="0"/>
      <w:divBdr>
        <w:top w:val="none" w:sz="0" w:space="0" w:color="auto"/>
        <w:left w:val="none" w:sz="0" w:space="0" w:color="auto"/>
        <w:bottom w:val="none" w:sz="0" w:space="0" w:color="auto"/>
        <w:right w:val="none" w:sz="0" w:space="0" w:color="auto"/>
      </w:divBdr>
      <w:divsChild>
        <w:div w:id="542400108">
          <w:marLeft w:val="0"/>
          <w:marRight w:val="0"/>
          <w:marTop w:val="0"/>
          <w:marBottom w:val="0"/>
          <w:divBdr>
            <w:top w:val="none" w:sz="0" w:space="0" w:color="auto"/>
            <w:left w:val="none" w:sz="0" w:space="0" w:color="auto"/>
            <w:bottom w:val="none" w:sz="0" w:space="0" w:color="auto"/>
            <w:right w:val="none" w:sz="0" w:space="0" w:color="auto"/>
          </w:divBdr>
          <w:divsChild>
            <w:div w:id="1438522547">
              <w:marLeft w:val="0"/>
              <w:marRight w:val="0"/>
              <w:marTop w:val="0"/>
              <w:marBottom w:val="0"/>
              <w:divBdr>
                <w:top w:val="none" w:sz="0" w:space="0" w:color="auto"/>
                <w:left w:val="none" w:sz="0" w:space="0" w:color="auto"/>
                <w:bottom w:val="none" w:sz="0" w:space="0" w:color="auto"/>
                <w:right w:val="none" w:sz="0" w:space="0" w:color="auto"/>
              </w:divBdr>
              <w:divsChild>
                <w:div w:id="1244991338">
                  <w:marLeft w:val="0"/>
                  <w:marRight w:val="0"/>
                  <w:marTop w:val="0"/>
                  <w:marBottom w:val="0"/>
                  <w:divBdr>
                    <w:top w:val="none" w:sz="0" w:space="0" w:color="auto"/>
                    <w:left w:val="none" w:sz="0" w:space="0" w:color="auto"/>
                    <w:bottom w:val="none" w:sz="0" w:space="0" w:color="auto"/>
                    <w:right w:val="none" w:sz="0" w:space="0" w:color="auto"/>
                  </w:divBdr>
                  <w:divsChild>
                    <w:div w:id="2099936467">
                      <w:marLeft w:val="0"/>
                      <w:marRight w:val="0"/>
                      <w:marTop w:val="0"/>
                      <w:marBottom w:val="0"/>
                      <w:divBdr>
                        <w:top w:val="none" w:sz="0" w:space="0" w:color="auto"/>
                        <w:left w:val="none" w:sz="0" w:space="0" w:color="auto"/>
                        <w:bottom w:val="none" w:sz="0" w:space="0" w:color="auto"/>
                        <w:right w:val="none" w:sz="0" w:space="0" w:color="auto"/>
                      </w:divBdr>
                      <w:divsChild>
                        <w:div w:id="308174367">
                          <w:marLeft w:val="-90"/>
                          <w:marRight w:val="-90"/>
                          <w:marTop w:val="0"/>
                          <w:marBottom w:val="0"/>
                          <w:divBdr>
                            <w:top w:val="none" w:sz="0" w:space="0" w:color="auto"/>
                            <w:left w:val="none" w:sz="0" w:space="0" w:color="auto"/>
                            <w:bottom w:val="none" w:sz="0" w:space="0" w:color="auto"/>
                            <w:right w:val="none" w:sz="0" w:space="0" w:color="auto"/>
                          </w:divBdr>
                          <w:divsChild>
                            <w:div w:id="1349406509">
                              <w:marLeft w:val="0"/>
                              <w:marRight w:val="0"/>
                              <w:marTop w:val="0"/>
                              <w:marBottom w:val="0"/>
                              <w:divBdr>
                                <w:top w:val="none" w:sz="0" w:space="0" w:color="auto"/>
                                <w:left w:val="none" w:sz="0" w:space="0" w:color="auto"/>
                                <w:bottom w:val="none" w:sz="0" w:space="0" w:color="auto"/>
                                <w:right w:val="none" w:sz="0" w:space="0" w:color="auto"/>
                              </w:divBdr>
                              <w:divsChild>
                                <w:div w:id="634413402">
                                  <w:marLeft w:val="0"/>
                                  <w:marRight w:val="0"/>
                                  <w:marTop w:val="0"/>
                                  <w:marBottom w:val="0"/>
                                  <w:divBdr>
                                    <w:top w:val="none" w:sz="0" w:space="0" w:color="auto"/>
                                    <w:left w:val="none" w:sz="0" w:space="0" w:color="auto"/>
                                    <w:bottom w:val="none" w:sz="0" w:space="0" w:color="auto"/>
                                    <w:right w:val="none" w:sz="0" w:space="0" w:color="auto"/>
                                  </w:divBdr>
                                  <w:divsChild>
                                    <w:div w:id="1701081911">
                                      <w:marLeft w:val="0"/>
                                      <w:marRight w:val="0"/>
                                      <w:marTop w:val="0"/>
                                      <w:marBottom w:val="0"/>
                                      <w:divBdr>
                                        <w:top w:val="none" w:sz="0" w:space="0" w:color="auto"/>
                                        <w:left w:val="none" w:sz="0" w:space="0" w:color="auto"/>
                                        <w:bottom w:val="none" w:sz="0" w:space="0" w:color="auto"/>
                                        <w:right w:val="none" w:sz="0" w:space="0" w:color="auto"/>
                                      </w:divBdr>
                                      <w:divsChild>
                                        <w:div w:id="8757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463766">
      <w:bodyDiv w:val="1"/>
      <w:marLeft w:val="0"/>
      <w:marRight w:val="0"/>
      <w:marTop w:val="0"/>
      <w:marBottom w:val="0"/>
      <w:divBdr>
        <w:top w:val="none" w:sz="0" w:space="0" w:color="auto"/>
        <w:left w:val="none" w:sz="0" w:space="0" w:color="auto"/>
        <w:bottom w:val="none" w:sz="0" w:space="0" w:color="auto"/>
        <w:right w:val="none" w:sz="0" w:space="0" w:color="auto"/>
      </w:divBdr>
    </w:div>
    <w:div w:id="328683122">
      <w:bodyDiv w:val="1"/>
      <w:marLeft w:val="0"/>
      <w:marRight w:val="0"/>
      <w:marTop w:val="0"/>
      <w:marBottom w:val="0"/>
      <w:divBdr>
        <w:top w:val="none" w:sz="0" w:space="0" w:color="auto"/>
        <w:left w:val="none" w:sz="0" w:space="0" w:color="auto"/>
        <w:bottom w:val="none" w:sz="0" w:space="0" w:color="auto"/>
        <w:right w:val="none" w:sz="0" w:space="0" w:color="auto"/>
      </w:divBdr>
    </w:div>
    <w:div w:id="397821970">
      <w:bodyDiv w:val="1"/>
      <w:marLeft w:val="0"/>
      <w:marRight w:val="0"/>
      <w:marTop w:val="0"/>
      <w:marBottom w:val="0"/>
      <w:divBdr>
        <w:top w:val="none" w:sz="0" w:space="0" w:color="auto"/>
        <w:left w:val="none" w:sz="0" w:space="0" w:color="auto"/>
        <w:bottom w:val="none" w:sz="0" w:space="0" w:color="auto"/>
        <w:right w:val="none" w:sz="0" w:space="0" w:color="auto"/>
      </w:divBdr>
      <w:divsChild>
        <w:div w:id="542132650">
          <w:marLeft w:val="0"/>
          <w:marRight w:val="0"/>
          <w:marTop w:val="0"/>
          <w:marBottom w:val="0"/>
          <w:divBdr>
            <w:top w:val="none" w:sz="0" w:space="0" w:color="auto"/>
            <w:left w:val="none" w:sz="0" w:space="0" w:color="auto"/>
            <w:bottom w:val="none" w:sz="0" w:space="0" w:color="auto"/>
            <w:right w:val="none" w:sz="0" w:space="0" w:color="auto"/>
          </w:divBdr>
          <w:divsChild>
            <w:div w:id="1496997655">
              <w:marLeft w:val="0"/>
              <w:marRight w:val="0"/>
              <w:marTop w:val="0"/>
              <w:marBottom w:val="0"/>
              <w:divBdr>
                <w:top w:val="none" w:sz="0" w:space="0" w:color="auto"/>
                <w:left w:val="none" w:sz="0" w:space="0" w:color="auto"/>
                <w:bottom w:val="none" w:sz="0" w:space="0" w:color="auto"/>
                <w:right w:val="none" w:sz="0" w:space="0" w:color="auto"/>
              </w:divBdr>
              <w:divsChild>
                <w:div w:id="1630354692">
                  <w:marLeft w:val="0"/>
                  <w:marRight w:val="0"/>
                  <w:marTop w:val="0"/>
                  <w:marBottom w:val="0"/>
                  <w:divBdr>
                    <w:top w:val="none" w:sz="0" w:space="0" w:color="auto"/>
                    <w:left w:val="none" w:sz="0" w:space="0" w:color="auto"/>
                    <w:bottom w:val="none" w:sz="0" w:space="0" w:color="auto"/>
                    <w:right w:val="none" w:sz="0" w:space="0" w:color="auto"/>
                  </w:divBdr>
                  <w:divsChild>
                    <w:div w:id="63797285">
                      <w:marLeft w:val="0"/>
                      <w:marRight w:val="0"/>
                      <w:marTop w:val="0"/>
                      <w:marBottom w:val="0"/>
                      <w:divBdr>
                        <w:top w:val="none" w:sz="0" w:space="0" w:color="auto"/>
                        <w:left w:val="none" w:sz="0" w:space="0" w:color="auto"/>
                        <w:bottom w:val="none" w:sz="0" w:space="0" w:color="auto"/>
                        <w:right w:val="none" w:sz="0" w:space="0" w:color="auto"/>
                      </w:divBdr>
                      <w:divsChild>
                        <w:div w:id="1205555813">
                          <w:marLeft w:val="-90"/>
                          <w:marRight w:val="-90"/>
                          <w:marTop w:val="0"/>
                          <w:marBottom w:val="0"/>
                          <w:divBdr>
                            <w:top w:val="none" w:sz="0" w:space="0" w:color="auto"/>
                            <w:left w:val="none" w:sz="0" w:space="0" w:color="auto"/>
                            <w:bottom w:val="none" w:sz="0" w:space="0" w:color="auto"/>
                            <w:right w:val="none" w:sz="0" w:space="0" w:color="auto"/>
                          </w:divBdr>
                          <w:divsChild>
                            <w:div w:id="988873336">
                              <w:marLeft w:val="0"/>
                              <w:marRight w:val="0"/>
                              <w:marTop w:val="0"/>
                              <w:marBottom w:val="0"/>
                              <w:divBdr>
                                <w:top w:val="none" w:sz="0" w:space="0" w:color="auto"/>
                                <w:left w:val="none" w:sz="0" w:space="0" w:color="auto"/>
                                <w:bottom w:val="none" w:sz="0" w:space="0" w:color="auto"/>
                                <w:right w:val="none" w:sz="0" w:space="0" w:color="auto"/>
                              </w:divBdr>
                              <w:divsChild>
                                <w:div w:id="275990147">
                                  <w:marLeft w:val="0"/>
                                  <w:marRight w:val="0"/>
                                  <w:marTop w:val="0"/>
                                  <w:marBottom w:val="0"/>
                                  <w:divBdr>
                                    <w:top w:val="none" w:sz="0" w:space="0" w:color="auto"/>
                                    <w:left w:val="none" w:sz="0" w:space="0" w:color="auto"/>
                                    <w:bottom w:val="none" w:sz="0" w:space="0" w:color="auto"/>
                                    <w:right w:val="none" w:sz="0" w:space="0" w:color="auto"/>
                                  </w:divBdr>
                                  <w:divsChild>
                                    <w:div w:id="1214539397">
                                      <w:marLeft w:val="0"/>
                                      <w:marRight w:val="0"/>
                                      <w:marTop w:val="0"/>
                                      <w:marBottom w:val="0"/>
                                      <w:divBdr>
                                        <w:top w:val="none" w:sz="0" w:space="0" w:color="auto"/>
                                        <w:left w:val="none" w:sz="0" w:space="0" w:color="auto"/>
                                        <w:bottom w:val="none" w:sz="0" w:space="0" w:color="auto"/>
                                        <w:right w:val="none" w:sz="0" w:space="0" w:color="auto"/>
                                      </w:divBdr>
                                      <w:divsChild>
                                        <w:div w:id="11331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130170">
      <w:bodyDiv w:val="1"/>
      <w:marLeft w:val="0"/>
      <w:marRight w:val="0"/>
      <w:marTop w:val="0"/>
      <w:marBottom w:val="0"/>
      <w:divBdr>
        <w:top w:val="none" w:sz="0" w:space="0" w:color="auto"/>
        <w:left w:val="none" w:sz="0" w:space="0" w:color="auto"/>
        <w:bottom w:val="none" w:sz="0" w:space="0" w:color="auto"/>
        <w:right w:val="none" w:sz="0" w:space="0" w:color="auto"/>
      </w:divBdr>
    </w:div>
    <w:div w:id="618296966">
      <w:bodyDiv w:val="1"/>
      <w:marLeft w:val="0"/>
      <w:marRight w:val="0"/>
      <w:marTop w:val="0"/>
      <w:marBottom w:val="0"/>
      <w:divBdr>
        <w:top w:val="none" w:sz="0" w:space="0" w:color="auto"/>
        <w:left w:val="none" w:sz="0" w:space="0" w:color="auto"/>
        <w:bottom w:val="none" w:sz="0" w:space="0" w:color="auto"/>
        <w:right w:val="none" w:sz="0" w:space="0" w:color="auto"/>
      </w:divBdr>
    </w:div>
    <w:div w:id="648167583">
      <w:bodyDiv w:val="1"/>
      <w:marLeft w:val="0"/>
      <w:marRight w:val="0"/>
      <w:marTop w:val="0"/>
      <w:marBottom w:val="0"/>
      <w:divBdr>
        <w:top w:val="none" w:sz="0" w:space="0" w:color="auto"/>
        <w:left w:val="none" w:sz="0" w:space="0" w:color="auto"/>
        <w:bottom w:val="none" w:sz="0" w:space="0" w:color="auto"/>
        <w:right w:val="none" w:sz="0" w:space="0" w:color="auto"/>
      </w:divBdr>
    </w:div>
    <w:div w:id="721683056">
      <w:bodyDiv w:val="1"/>
      <w:marLeft w:val="0"/>
      <w:marRight w:val="0"/>
      <w:marTop w:val="0"/>
      <w:marBottom w:val="0"/>
      <w:divBdr>
        <w:top w:val="none" w:sz="0" w:space="0" w:color="auto"/>
        <w:left w:val="none" w:sz="0" w:space="0" w:color="auto"/>
        <w:bottom w:val="none" w:sz="0" w:space="0" w:color="auto"/>
        <w:right w:val="none" w:sz="0" w:space="0" w:color="auto"/>
      </w:divBdr>
    </w:div>
    <w:div w:id="816414249">
      <w:bodyDiv w:val="1"/>
      <w:marLeft w:val="0"/>
      <w:marRight w:val="0"/>
      <w:marTop w:val="0"/>
      <w:marBottom w:val="0"/>
      <w:divBdr>
        <w:top w:val="none" w:sz="0" w:space="0" w:color="auto"/>
        <w:left w:val="none" w:sz="0" w:space="0" w:color="auto"/>
        <w:bottom w:val="none" w:sz="0" w:space="0" w:color="auto"/>
        <w:right w:val="none" w:sz="0" w:space="0" w:color="auto"/>
      </w:divBdr>
    </w:div>
    <w:div w:id="971978573">
      <w:bodyDiv w:val="1"/>
      <w:marLeft w:val="0"/>
      <w:marRight w:val="0"/>
      <w:marTop w:val="0"/>
      <w:marBottom w:val="0"/>
      <w:divBdr>
        <w:top w:val="none" w:sz="0" w:space="0" w:color="auto"/>
        <w:left w:val="none" w:sz="0" w:space="0" w:color="auto"/>
        <w:bottom w:val="none" w:sz="0" w:space="0" w:color="auto"/>
        <w:right w:val="none" w:sz="0" w:space="0" w:color="auto"/>
      </w:divBdr>
    </w:div>
    <w:div w:id="1370108955">
      <w:bodyDiv w:val="1"/>
      <w:marLeft w:val="0"/>
      <w:marRight w:val="0"/>
      <w:marTop w:val="0"/>
      <w:marBottom w:val="0"/>
      <w:divBdr>
        <w:top w:val="none" w:sz="0" w:space="0" w:color="auto"/>
        <w:left w:val="none" w:sz="0" w:space="0" w:color="auto"/>
        <w:bottom w:val="none" w:sz="0" w:space="0" w:color="auto"/>
        <w:right w:val="none" w:sz="0" w:space="0" w:color="auto"/>
      </w:divBdr>
    </w:div>
    <w:div w:id="1387685123">
      <w:bodyDiv w:val="1"/>
      <w:marLeft w:val="0"/>
      <w:marRight w:val="0"/>
      <w:marTop w:val="0"/>
      <w:marBottom w:val="0"/>
      <w:divBdr>
        <w:top w:val="none" w:sz="0" w:space="0" w:color="auto"/>
        <w:left w:val="none" w:sz="0" w:space="0" w:color="auto"/>
        <w:bottom w:val="none" w:sz="0" w:space="0" w:color="auto"/>
        <w:right w:val="none" w:sz="0" w:space="0" w:color="auto"/>
      </w:divBdr>
    </w:div>
    <w:div w:id="1779907363">
      <w:bodyDiv w:val="1"/>
      <w:marLeft w:val="0"/>
      <w:marRight w:val="0"/>
      <w:marTop w:val="0"/>
      <w:marBottom w:val="0"/>
      <w:divBdr>
        <w:top w:val="none" w:sz="0" w:space="0" w:color="auto"/>
        <w:left w:val="none" w:sz="0" w:space="0" w:color="auto"/>
        <w:bottom w:val="none" w:sz="0" w:space="0" w:color="auto"/>
        <w:right w:val="none" w:sz="0" w:space="0" w:color="auto"/>
      </w:divBdr>
    </w:div>
    <w:div w:id="1816028880">
      <w:bodyDiv w:val="1"/>
      <w:marLeft w:val="0"/>
      <w:marRight w:val="0"/>
      <w:marTop w:val="0"/>
      <w:marBottom w:val="0"/>
      <w:divBdr>
        <w:top w:val="none" w:sz="0" w:space="0" w:color="auto"/>
        <w:left w:val="none" w:sz="0" w:space="0" w:color="auto"/>
        <w:bottom w:val="none" w:sz="0" w:space="0" w:color="auto"/>
        <w:right w:val="none" w:sz="0" w:space="0" w:color="auto"/>
      </w:divBdr>
    </w:div>
    <w:div w:id="1897812580">
      <w:bodyDiv w:val="1"/>
      <w:marLeft w:val="0"/>
      <w:marRight w:val="0"/>
      <w:marTop w:val="0"/>
      <w:marBottom w:val="0"/>
      <w:divBdr>
        <w:top w:val="none" w:sz="0" w:space="0" w:color="auto"/>
        <w:left w:val="none" w:sz="0" w:space="0" w:color="auto"/>
        <w:bottom w:val="none" w:sz="0" w:space="0" w:color="auto"/>
        <w:right w:val="none" w:sz="0" w:space="0" w:color="auto"/>
      </w:divBdr>
    </w:div>
    <w:div w:id="1930917638">
      <w:bodyDiv w:val="1"/>
      <w:marLeft w:val="0"/>
      <w:marRight w:val="0"/>
      <w:marTop w:val="0"/>
      <w:marBottom w:val="0"/>
      <w:divBdr>
        <w:top w:val="none" w:sz="0" w:space="0" w:color="auto"/>
        <w:left w:val="none" w:sz="0" w:space="0" w:color="auto"/>
        <w:bottom w:val="none" w:sz="0" w:space="0" w:color="auto"/>
        <w:right w:val="none" w:sz="0" w:space="0" w:color="auto"/>
      </w:divBdr>
    </w:div>
    <w:div w:id="2035884394">
      <w:bodyDiv w:val="1"/>
      <w:marLeft w:val="0"/>
      <w:marRight w:val="0"/>
      <w:marTop w:val="0"/>
      <w:marBottom w:val="0"/>
      <w:divBdr>
        <w:top w:val="none" w:sz="0" w:space="0" w:color="auto"/>
        <w:left w:val="none" w:sz="0" w:space="0" w:color="auto"/>
        <w:bottom w:val="none" w:sz="0" w:space="0" w:color="auto"/>
        <w:right w:val="none" w:sz="0" w:space="0" w:color="auto"/>
      </w:divBdr>
      <w:divsChild>
        <w:div w:id="740954997">
          <w:marLeft w:val="0"/>
          <w:marRight w:val="0"/>
          <w:marTop w:val="0"/>
          <w:marBottom w:val="0"/>
          <w:divBdr>
            <w:top w:val="none" w:sz="0" w:space="0" w:color="auto"/>
            <w:left w:val="none" w:sz="0" w:space="0" w:color="auto"/>
            <w:bottom w:val="none" w:sz="0" w:space="0" w:color="auto"/>
            <w:right w:val="none" w:sz="0" w:space="0" w:color="auto"/>
          </w:divBdr>
          <w:divsChild>
            <w:div w:id="2146969440">
              <w:marLeft w:val="0"/>
              <w:marRight w:val="0"/>
              <w:marTop w:val="0"/>
              <w:marBottom w:val="0"/>
              <w:divBdr>
                <w:top w:val="none" w:sz="0" w:space="0" w:color="auto"/>
                <w:left w:val="none" w:sz="0" w:space="0" w:color="auto"/>
                <w:bottom w:val="none" w:sz="0" w:space="0" w:color="auto"/>
                <w:right w:val="none" w:sz="0" w:space="0" w:color="auto"/>
              </w:divBdr>
              <w:divsChild>
                <w:div w:id="814105468">
                  <w:marLeft w:val="0"/>
                  <w:marRight w:val="0"/>
                  <w:marTop w:val="0"/>
                  <w:marBottom w:val="0"/>
                  <w:divBdr>
                    <w:top w:val="none" w:sz="0" w:space="0" w:color="auto"/>
                    <w:left w:val="none" w:sz="0" w:space="0" w:color="auto"/>
                    <w:bottom w:val="none" w:sz="0" w:space="0" w:color="auto"/>
                    <w:right w:val="none" w:sz="0" w:space="0" w:color="auto"/>
                  </w:divBdr>
                  <w:divsChild>
                    <w:div w:id="6256499">
                      <w:marLeft w:val="0"/>
                      <w:marRight w:val="0"/>
                      <w:marTop w:val="0"/>
                      <w:marBottom w:val="0"/>
                      <w:divBdr>
                        <w:top w:val="none" w:sz="0" w:space="0" w:color="auto"/>
                        <w:left w:val="none" w:sz="0" w:space="0" w:color="auto"/>
                        <w:bottom w:val="none" w:sz="0" w:space="0" w:color="auto"/>
                        <w:right w:val="none" w:sz="0" w:space="0" w:color="auto"/>
                      </w:divBdr>
                      <w:divsChild>
                        <w:div w:id="714499943">
                          <w:marLeft w:val="-90"/>
                          <w:marRight w:val="-90"/>
                          <w:marTop w:val="0"/>
                          <w:marBottom w:val="0"/>
                          <w:divBdr>
                            <w:top w:val="none" w:sz="0" w:space="0" w:color="auto"/>
                            <w:left w:val="none" w:sz="0" w:space="0" w:color="auto"/>
                            <w:bottom w:val="none" w:sz="0" w:space="0" w:color="auto"/>
                            <w:right w:val="none" w:sz="0" w:space="0" w:color="auto"/>
                          </w:divBdr>
                          <w:divsChild>
                            <w:div w:id="708729296">
                              <w:marLeft w:val="0"/>
                              <w:marRight w:val="0"/>
                              <w:marTop w:val="0"/>
                              <w:marBottom w:val="0"/>
                              <w:divBdr>
                                <w:top w:val="none" w:sz="0" w:space="0" w:color="auto"/>
                                <w:left w:val="none" w:sz="0" w:space="0" w:color="auto"/>
                                <w:bottom w:val="none" w:sz="0" w:space="0" w:color="auto"/>
                                <w:right w:val="none" w:sz="0" w:space="0" w:color="auto"/>
                              </w:divBdr>
                              <w:divsChild>
                                <w:div w:id="520050528">
                                  <w:marLeft w:val="0"/>
                                  <w:marRight w:val="0"/>
                                  <w:marTop w:val="0"/>
                                  <w:marBottom w:val="0"/>
                                  <w:divBdr>
                                    <w:top w:val="none" w:sz="0" w:space="0" w:color="auto"/>
                                    <w:left w:val="none" w:sz="0" w:space="0" w:color="auto"/>
                                    <w:bottom w:val="none" w:sz="0" w:space="0" w:color="auto"/>
                                    <w:right w:val="none" w:sz="0" w:space="0" w:color="auto"/>
                                  </w:divBdr>
                                  <w:divsChild>
                                    <w:div w:id="1415276048">
                                      <w:marLeft w:val="0"/>
                                      <w:marRight w:val="0"/>
                                      <w:marTop w:val="0"/>
                                      <w:marBottom w:val="0"/>
                                      <w:divBdr>
                                        <w:top w:val="none" w:sz="0" w:space="0" w:color="auto"/>
                                        <w:left w:val="none" w:sz="0" w:space="0" w:color="auto"/>
                                        <w:bottom w:val="none" w:sz="0" w:space="0" w:color="auto"/>
                                        <w:right w:val="none" w:sz="0" w:space="0" w:color="auto"/>
                                      </w:divBdr>
                                      <w:divsChild>
                                        <w:div w:id="10196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cklecellsociety.org/coronavirus-and-sc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ts.org/heads-up/coronavirus-inform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covid-19-review-of-disparities-in-risks-and-outcom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cpch.ac.uk/resources/covid-19-shielding-guidance-children-young-peopl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359D1-1764-4720-87D4-CB0EE88A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2973</Words>
  <Characters>16952</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19886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Howard Jo</dc:creator>
  <cp:lastModifiedBy>Saskia Ottignon</cp:lastModifiedBy>
  <cp:revision>2</cp:revision>
  <dcterms:created xsi:type="dcterms:W3CDTF">2020-08-28T13:14:00Z</dcterms:created>
  <dcterms:modified xsi:type="dcterms:W3CDTF">2020-08-28T13:14:00Z</dcterms:modified>
</cp:coreProperties>
</file>